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svg" ContentType="image/svg+xml"/>
  <Override PartName="/word/media/rId38.png" ContentType="image/png"/>
  <Override PartName="/word/media/rId35.png" ContentType="image/png"/>
  <Override PartName="/word/media/rId49.svg" ContentType="image/svg+xml"/>
  <Override PartName="/word/media/rId4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df9502ef5c17bbba6731875408e8426bd513f0c"/>
    <w:p>
      <w:pPr>
        <w:pStyle w:val="Heading1"/>
      </w:pPr>
      <w:r>
        <w:t xml:space="preserve">Framing, Judging, Steering: An Assessable Competency Model for Teaching Students to Reason With Generative AI</w:t>
      </w:r>
    </w:p>
    <w:p>
      <w:pPr>
        <w:pStyle w:val="FirstParagraph"/>
      </w:pPr>
      <w:r>
        <w:rPr>
          <w:b/>
          <w:bCs/>
        </w:rPr>
        <w:t xml:space="preserve">Alexander Apartsin</w:t>
      </w:r>
      <w:r>
        <w:t xml:space="preserve">¹ and</w:t>
      </w:r>
      <w:r>
        <w:t xml:space="preserve"> </w:t>
      </w:r>
      <w:r>
        <w:rPr>
          <w:b/>
          <w:bCs/>
        </w:rPr>
        <w:t xml:space="preserve">Yehudit Aperstein</w:t>
      </w:r>
      <w:r>
        <w:t xml:space="preserve">²</w:t>
      </w:r>
      <w:r>
        <w:t xml:space="preserve"> </w:t>
      </w:r>
      <w:r>
        <w:t xml:space="preserve">{: .authors }</w:t>
      </w:r>
    </w:p>
    <w:p>
      <w:pPr>
        <w:pStyle w:val="BodyText"/>
      </w:pPr>
      <w:r>
        <w:t xml:space="preserve">¹ Holon Institute of Technology · ² Afeka College of Engineering</w:t>
      </w:r>
      <w:r>
        <w:t xml:space="preserve"> </w:t>
      </w:r>
      <w:r>
        <w:t xml:space="preserve">{: .affil }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Generative AI makes it trivial to obtain an answer and difficult to obtain understanding. As large</w:t>
      </w:r>
      <w:r>
        <w:t xml:space="preserve"> </w:t>
      </w:r>
      <w:r>
        <w:t xml:space="preserve">language models are absorbed into education, the dominant design objective has been speed-to-answer,</w:t>
      </w:r>
      <w:r>
        <w:t xml:space="preserve"> </w:t>
      </w:r>
      <w:r>
        <w:t xml:space="preserve">even as a growing body of evidence links uncritical AI use to cognitive offloading and weakened</w:t>
      </w:r>
      <w:r>
        <w:t xml:space="preserve"> </w:t>
      </w:r>
      <w:r>
        <w:t xml:space="preserve">critical thinking. We argue that the educational question is not whether students use AI but</w:t>
      </w:r>
      <w:r>
        <w:t xml:space="preserve"> </w:t>
      </w:r>
      <w:r>
        <w:rPr>
          <w:i/>
          <w:iCs/>
        </w:rPr>
        <w:t xml:space="preserve">whether they use it as critical collaborators</w:t>
      </w:r>
      <w:r>
        <w:t xml:space="preserve">, and that this capability can be named, decomposed,</w:t>
      </w:r>
      <w:r>
        <w:t xml:space="preserve"> </w:t>
      </w:r>
      <w:r>
        <w:t xml:space="preserve">and assessed.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 learning platform</w:t>
      </w:r>
      <w:r>
        <w:t xml:space="preserve"> </w:t>
      </w:r>
      <w:r>
        <w:t xml:space="preserve">that generates ill-defined problems, confronts students with deliberately flawed AI output to improve</w:t>
      </w:r>
      <w:r>
        <w:t xml:space="preserve"> </w:t>
      </w:r>
      <w:r>
        <w:t xml:space="preserve">across judge-and-steer cycles, and scores the three skills independently with rubric-driven feedback.</w:t>
      </w:r>
      <w:r>
        <w:t xml:space="preserve"> </w:t>
      </w:r>
      <w:r>
        <w:t xml:space="preserve">Using the platform’s instrument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we report a feasibility demonstration that the instrument’s</w:t>
      </w:r>
      <w:r>
        <w:t xml:space="preserve"> </w:t>
      </w:r>
      <w:r>
        <w:t xml:space="preserve">per-skill grades</w:t>
      </w:r>
      <w:r>
        <w:t xml:space="preserve"> </w:t>
      </w:r>
      <w:r>
        <w:rPr>
          <w:i/>
          <w:iCs/>
        </w:rPr>
        <w:t xml:space="preserve">dissociate</w:t>
      </w:r>
      <w:r>
        <w:t xml:space="preserve">: each skill’s grade tracks its own manipulated competence and stays</w:t>
      </w:r>
      <w:r>
        <w:t xml:space="preserve"> </w:t>
      </w:r>
      <w:r>
        <w:t xml:space="preserve">near-flat in the others. The strongest evidence is the two blind-graded skills, Framing and Steering,</w:t>
      </w:r>
      <w:r>
        <w:t xml:space="preserve"> </w:t>
      </w:r>
      <w:r>
        <w:t xml:space="preserve">which show positive own-competence effects (+0.6 and +0.4 grade points) with near-zero cross-effects</w:t>
      </w:r>
      <w:r>
        <w:t xml:space="preserve"> </w:t>
      </w:r>
      <w:r>
        <w:t xml:space="preserve">and near-zero inter-skill correlations; the grader is also internally consistent across repeats (a</w:t>
      </w:r>
      <w:r>
        <w:t xml:space="preserve"> </w:t>
      </w:r>
      <w:r>
        <w:t xml:space="preserve">precision, not an accuracy, property), and the dissociation replicates when a different grader model is</w:t>
      </w:r>
      <w:r>
        <w:t xml:space="preserve"> </w:t>
      </w:r>
      <w:r>
        <w:t xml:space="preserve">substituted. We release the prototype’s scoring engine (sixteen prompts), the controlled-generation</w:t>
      </w:r>
      <w:r>
        <w:t xml:space="preserve"> </w:t>
      </w:r>
      <w:r>
        <w:t xml:space="preserve">harness, and all data and figures. We make no learning-outcome claims: because the learners are</w:t>
      </w:r>
      <w:r>
        <w:t xml:space="preserve"> </w:t>
      </w:r>
      <w:r>
        <w:t xml:space="preserve">simulated and the grades are not yet validated against human raters, this is evidence of</w:t>
      </w:r>
      <w:r>
        <w:t xml:space="preserve"> </w:t>
      </w:r>
      <w:r>
        <w:rPr>
          <w:i/>
          <w:iCs/>
        </w:rPr>
        <w:t xml:space="preserve">construct</w:t>
      </w:r>
      <w:r>
        <w:rPr>
          <w:i/>
          <w:iCs/>
        </w:rPr>
        <w:t xml:space="preserve"> </w:t>
      </w:r>
      <w:r>
        <w:rPr>
          <w:i/>
          <w:iCs/>
        </w:rPr>
        <w:t xml:space="preserve">separability and automatic measurability of the instrument</w:t>
      </w:r>
      <w:r>
        <w:t xml:space="preserve">, not of human learning, and we close with</w:t>
      </w:r>
      <w:r>
        <w:t xml:space="preserve"> </w:t>
      </w:r>
      <w:r>
        <w:t xml:space="preserve">the validity agenda that would establish the latter.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</w:t>
      </w:r>
      <w:r>
        <w:t xml:space="preserve"> </w:t>
      </w:r>
      <w:r>
        <w:t xml:space="preserve">“</w:t>
      </w:r>
      <w:r>
        <w:t xml:space="preserve">metacognitive</w:t>
      </w:r>
      <w:r>
        <w:t xml:space="preserve"> </w:t>
      </w:r>
      <w:r>
        <w:t xml:space="preserve">laziness,</w:t>
      </w:r>
      <w:r>
        <w:t xml:space="preserve">”</w:t>
      </w:r>
      <w:r>
        <w:t xml:space="preserve"> </w:t>
      </w:r>
      <w:r>
        <w:t xml:space="preserve">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cognitive debt</w:t>
      </w:r>
      <w:r>
        <w:t xml:space="preserve">”</w:t>
      </w:r>
      <w:r>
        <w:t xml:space="preserve"> </w:t>
      </w:r>
      <w:r>
        <w:t xml:space="preserve">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user’s skill in directing it: assistance helps inside a model’s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(Dell’Acqua et al., 2023), and the most effective users adopt an iterative, critical</w:t>
      </w:r>
      <w:r>
        <w:t xml:space="preserve"> </w:t>
      </w:r>
      <w:r>
        <w:t xml:space="preserve">“</w:t>
      </w:r>
      <w:r>
        <w:t xml:space="preserve">push-back-and-validate</w:t>
      </w:r>
      <w:r>
        <w:t xml:space="preserve">”</w:t>
      </w:r>
      <w:r>
        <w:t xml:space="preserve"> </w:t>
      </w:r>
      <w:r>
        <w:t xml:space="preserve">mode rather than wholesale delegation (Randazzo et al., 2025). Meta-analytic</w:t>
      </w:r>
      <w:r>
        <w:t xml:space="preserve"> </w:t>
      </w:r>
      <w:r>
        <w:t xml:space="preserve">evidence is sobering: human-AI teams frequently underperform the better of the human or the AI alone</w:t>
      </w:r>
      <w:r>
        <w:t xml:space="preserve"> </w:t>
      </w:r>
      <w:r>
        <w:t xml:space="preserve">(Vaccaro et al., 2024), which makes the human’s skill in directing the system, not mere access to it,</w:t>
      </w:r>
      <w:r>
        <w:t xml:space="preserve"> </w:t>
      </w:r>
      <w:r>
        <w:t xml:space="preserve">the decisive variable.</w:t>
      </w:r>
    </w:p>
    <w:p>
      <w:pPr>
        <w:pStyle w:val="BodyText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learner’s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learner’s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conflates them.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AI’s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skills, Framing, Judging, and Steering,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the central evidence</w:t>
      </w:r>
      <w:r>
        <w:t xml:space="preserve"> </w:t>
      </w:r>
      <w:r>
        <w:t xml:space="preserve">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21"/>
    <w:bookmarkStart w:id="22" w:name="X17376d58bcb93231038f1530b731c55944db2e6"/>
    <w:p>
      <w:pPr>
        <w:pStyle w:val="Heading2"/>
      </w:pPr>
      <w:r>
        <w:t xml:space="preserve">2. The problem with current AI-literacy assessment</w:t>
      </w:r>
    </w:p>
    <w:p>
      <w:pPr>
        <w:pStyle w:val="FirstParagraph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</w:pPr>
      <w:r>
        <w:t xml:space="preserve">The cost of this coarse resolution is diagnostic. When a learner’s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remedies, teaching problem</w:t>
      </w:r>
      <w:r>
        <w:t xml:space="preserve"> </w:t>
      </w:r>
      <w:r>
        <w:t xml:space="preserve">specification, teaching critical evaluation, and teaching corrective communication,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AI’s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22"/>
    <w:bookmarkStart w:id="29" w:name="the-coreasoning-framework"/>
    <w:p>
      <w:pPr>
        <w:pStyle w:val="Heading2"/>
      </w:pPr>
      <w:r>
        <w:t xml:space="preserve">3. The CoReasoning framework</w:t>
      </w:r>
    </w:p>
    <w:bookmarkStart w:id="26" w:name="Xb3d8dd490355320c562ac16a94db5803d599e73"/>
    <w:p>
      <w:pPr>
        <w:pStyle w:val="Heading3"/>
      </w:pPr>
      <w:r>
        <w:t xml:space="preserve">3.1 A monitor-control architecture with an upstream task-definition</w:t>
      </w:r>
    </w:p>
    <w:p>
      <w:pPr>
        <w:pStyle w:val="FirstParagraph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learner’s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AI’s</w:t>
      </w:r>
      <w:r>
        <w:t xml:space="preserve"> </w:t>
      </w:r>
      <w:r>
        <w:t xml:space="preserve">generative process, rather than the learner’s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framework’s central theoretical move: the same metacognitive machinery is turned</w:t>
      </w:r>
      <w:r>
        <w:t xml:space="preserve"> </w:t>
      </w:r>
      <w:r>
        <w:t xml:space="preserve">outward onto a fallible cognitive artifact. The extension is non-trivial because exo-directed monitoring</w:t>
      </w:r>
      <w:r>
        <w:t xml:space="preserve"> </w:t>
      </w:r>
      <w:r>
        <w:t xml:space="preserve">adds an epistemic-vigilance burden absent from self-monitoring (the learner must model the reliability</w:t>
      </w:r>
      <w:r>
        <w:t xml:space="preserve"> </w:t>
      </w:r>
      <w:r>
        <w:t xml:space="preserve">of a source whose competence differs from, and is opaque to, their own), which is exactly why Judging</w:t>
      </w:r>
      <w:r>
        <w:t xml:space="preserve"> </w:t>
      </w:r>
      <w:r>
        <w:t xml:space="preserve">is bounded by domain knowledge (Proposition P4). With that caveat stated, the mapping is direct: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CaptionedFigure"/>
      </w:pPr>
      <w:r>
        <w:drawing>
          <wp:inline>
            <wp:extent cx="5334000" cy="3057292"/>
            <wp:effectExtent b="0" l="0" r="0" t="0"/>
            <wp:docPr descr="Figure 1. The CoReasoning architecture." title="" id="24" name="Picture"/>
            <a:graphic>
              <a:graphicData uri="http://schemas.openxmlformats.org/drawingml/2006/picture">
                <pic:pic>
                  <pic:nvPicPr>
                    <pic:cNvPr descr="assets/coreasoning-architecture.svg" id="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CoReasoning architecture.</w:t>
      </w:r>
    </w:p>
    <w:p>
      <w:pPr>
        <w:pStyle w:val="BodyText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monitor’s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controller’s write.</w:t>
      </w:r>
    </w:p>
    <w:bookmarkEnd w:id="26"/>
    <w:bookmarkStart w:id="27" w:name="X44244f8f52b0cf83a8c12e7669f4d4601dca696"/>
    <w:p>
      <w:pPr>
        <w:pStyle w:val="Heading3"/>
      </w:pPr>
      <w:r>
        <w:t xml:space="preserve">3.2 The temporal-separation claim (what makes the decomposition non-obvious)</w:t>
      </w:r>
    </w:p>
    <w:p>
      <w:pPr>
        <w:pStyle w:val="FirstParagraph"/>
      </w:pPr>
      <w:r>
        <w:t xml:space="preserve">Existing frameworks treat</w:t>
      </w:r>
      <w:r>
        <w:t xml:space="preserve"> </w:t>
      </w:r>
      <w:r>
        <w:t xml:space="preserve">“</w:t>
      </w:r>
      <w:r>
        <w:t xml:space="preserve">use the AI well</w:t>
      </w:r>
      <w:r>
        <w:t xml:space="preserve">”</w:t>
      </w:r>
      <w:r>
        <w:t xml:space="preserve"> </w:t>
      </w:r>
      <w:r>
        <w:t xml:space="preserve">as one skill or, at most, pair</w:t>
      </w:r>
      <w:r>
        <w:t xml:space="preserve"> </w:t>
      </w:r>
      <w:r>
        <w:t xml:space="preserve">“</w:t>
      </w:r>
      <w:r>
        <w:t xml:space="preserve">prompt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evaluate.</w:t>
      </w:r>
      <w:r>
        <w:t xml:space="preserve">”</w:t>
      </w:r>
      <w:r>
        <w:t xml:space="preserve"> </w:t>
      </w:r>
      <w:r>
        <w:t xml:space="preserve">CoReasoning’s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hides exactly the</w:t>
      </w:r>
      <w:r>
        <w:t xml:space="preserve"> </w:t>
      </w:r>
      <w:r>
        <w:t xml:space="preserve">distinctions an educator needs.</w:t>
      </w:r>
    </w:p>
    <w:bookmarkEnd w:id="27"/>
    <w:bookmarkStart w:id="28" w:name="distinguishing-judging-from-steering"/>
    <w:p>
      <w:pPr>
        <w:pStyle w:val="Heading3"/>
      </w:pPr>
      <w:r>
        <w:t xml:space="preserve">3.3 Distinguishing Judging from Steering</w:t>
      </w:r>
    </w:p>
    <w:p>
      <w:pPr>
        <w:pStyle w:val="FirstParagraph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</w:t>
      </w:r>
      <w:r>
        <w:t xml:space="preserve"> </w:t>
      </w:r>
      <w:r>
        <w:t xml:space="preserve">“</w:t>
      </w:r>
      <w:r>
        <w:t xml:space="preserve">improve</w:t>
      </w:r>
      <w:r>
        <w:t xml:space="preserve"> </w:t>
      </w:r>
      <w:r>
        <w:t xml:space="preserve">this</w:t>
      </w:r>
      <w:r>
        <w:t xml:space="preserve">”</w:t>
      </w:r>
      <w:r>
        <w:t xml:space="preserve">), and effectiveness (whether the output actually converges). In the monitor-control terms of</w:t>
      </w:r>
      <w:r>
        <w:t xml:space="preserve"> </w:t>
      </w:r>
      <w:r>
        <w:t xml:space="preserve">Section 3.1, Judging is the monitor’s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controller’s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skill’s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8"/>
    <w:bookmarkEnd w:id="29"/>
    <w:bookmarkStart w:id="30" w:name="theoretical-grounding"/>
    <w:p>
      <w:pPr>
        <w:pStyle w:val="Heading2"/>
      </w:pPr>
      <w:r>
        <w:t xml:space="preserve">4. Theoretical grounding</w:t>
      </w:r>
    </w:p>
    <w:p>
      <w:pPr>
        <w:pStyle w:val="FirstParagraph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Zimmerman’s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Bloom’s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Paul-Elder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Chinn’s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is an inversion of cognitive-apprenticeship coaching</w:t>
      </w:r>
      <w:r>
        <w:t xml:space="preserve"> </w:t>
      </w:r>
      <w:r>
        <w:t xml:space="preserve">and scaffolding (Collins, Brown &amp; Newman, 1989), in which the learner, rather than the master, supplies</w:t>
      </w:r>
      <w:r>
        <w:t xml:space="preserve"> </w:t>
      </w:r>
      <w:r>
        <w:t xml:space="preserve">the corrective guidance; its quality depends on the learner monitoring the work against held standards</w:t>
      </w:r>
      <w:r>
        <w:t xml:space="preserve"> </w:t>
      </w:r>
      <w:r>
        <w:t xml:space="preserve">(Sadler, 1989) and is well described by feed-forward, the</w:t>
      </w:r>
      <w:r>
        <w:t xml:space="preserve"> </w:t>
      </w:r>
      <w:r>
        <w:t xml:space="preserve">“</w:t>
      </w:r>
      <w:r>
        <w:t xml:space="preserve">where to next</w:t>
      </w:r>
      <w:r>
        <w:t xml:space="preserve">”</w:t>
      </w:r>
      <w:r>
        <w:t xml:space="preserve"> </w:t>
      </w:r>
      <w:r>
        <w:t xml:space="preserve">component of effective feedback (Hattie &amp; Timperley, 2007).</w:t>
      </w:r>
    </w:p>
    <w:p>
      <w:pPr>
        <w:pStyle w:val="BodyText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learner’s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CoReasoning’s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30"/>
    <w:bookmarkStart w:id="31" w:name="propositions"/>
    <w:p>
      <w:pPr>
        <w:pStyle w:val="Heading2"/>
      </w:pPr>
      <w:r>
        <w:t xml:space="preserve">5. Propositions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 and the primary</w:t>
      </w:r>
      <w:r>
        <w:t xml:space="preserve"> </w:t>
      </w:r>
      <w:r>
        <w:t xml:space="preserve">defense 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31"/>
    <w:bookmarkStart w:id="32" w:name="relation-to-prior-frameworks"/>
    <w:p>
      <w:pPr>
        <w:pStyle w:val="Heading2"/>
      </w:pPr>
      <w:r>
        <w:t xml:space="preserve">6. Relation to prior frameworks</w:t>
      </w:r>
    </w:p>
    <w:p>
      <w:pPr>
        <w:pStyle w:val="FirstParagraph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CoReasoning’s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 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learner’s model-assigned Framing and Steering grades can diverge.</w:t>
      </w:r>
    </w:p>
    <w:p>
      <w:pPr>
        <w:pStyle w:val="BodyText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Cyborg</w:t>
      </w:r>
      <w:r>
        <w:t xml:space="preserve">”</w:t>
      </w:r>
      <w:r>
        <w:t xml:space="preserve"> </w:t>
      </w:r>
      <w:r>
        <w:t xml:space="preserve">mode of continuous push-back-and-validate (Randazzo et al., 2025) and the sharp</w:t>
      </w:r>
      <w:r>
        <w:t xml:space="preserve"> </w:t>
      </w:r>
      <w:r>
        <w:t xml:space="preserve">skill-dependence of AI’s value at the competence frontier (Dell’Acqua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</w:pPr>
      <w:r>
        <w:t xml:space="preserve">Table 1 makes the boundary explicit by mapping each nearest prior framework’s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</w:t>
      </w:r>
      <w:r>
        <w:t xml:space="preserve"> </w:t>
      </w:r>
      <w:r>
        <w:t xml:space="preserve">“</w:t>
      </w:r>
      <w:r>
        <w:t xml:space="preserve">prompting/iteration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BodyText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(pre-generation)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(post-generation)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 AI Fluency (Dakan &amp; Feller,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+ part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Discernment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Metacognitive demands (Tankelevitch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  <w:r>
              <w:t xml:space="preserve"> </w:t>
            </w:r>
            <w:r>
              <w:t xml:space="preserve">(as a demand, not a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evaluating outputs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 iteration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literacy / CLEAR (Lo,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iterative refinement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literacy (Long &amp; Magerko, 2020; UNESCO,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diffuse</w:t>
            </w:r>
            <w:r>
              <w:t xml:space="preserve"> </w:t>
            </w:r>
            <w:r>
              <w:t xml:space="preserve">“</w:t>
            </w:r>
            <w:r>
              <w:t xml:space="preserve">critical evaluation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Cyborg/Centaur modes (Randazzo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directed</w:t>
            </w:r>
            <w:r>
              <w:t xml:space="preserve">”</w:t>
            </w:r>
            <w:r>
              <w:t xml:space="preserve"> </w:t>
            </w:r>
            <w:r>
              <w:t xml:space="preserve">mode (described, not 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push back / validate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continuous dialogue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</w:t>
      </w:r>
      <w:r>
        <w:t xml:space="preserve"> </w:t>
      </w:r>
      <w:r>
        <w:t xml:space="preserve">“</w:t>
      </w:r>
      <w:r>
        <w:t xml:space="preserve">prompt problems</w:t>
      </w:r>
      <w:r>
        <w:t xml:space="preserve">”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32"/>
    <w:bookmarkStart w:id="33" w:name="the-coreasoning-lab-system"/>
    <w:p>
      <w:pPr>
        <w:pStyle w:val="Heading2"/>
      </w:pPr>
      <w:r>
        <w:t xml:space="preserve">7. The CoReasoning Lab system</w:t>
      </w:r>
    </w:p>
    <w:p>
      <w:pPr>
        <w:pStyle w:val="FirstParagraph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 The reusable</w:t>
      </w:r>
      <w:r>
        <w:t xml:space="preserve"> </w:t>
      </w:r>
      <w:r>
        <w:t xml:space="preserve">artifact we release and evaluate is the platform’s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, a library of sixteen prompts plus</w:t>
      </w:r>
      <w:r>
        <w:t xml:space="preserve"> </w:t>
      </w:r>
      <w:r>
        <w:t xml:space="preserve">a controlled-generation harness (Section 7.1); the interface figures in this paper (Figures A1–A2) are</w:t>
      </w:r>
      <w:r>
        <w:t xml:space="preserve"> </w:t>
      </w:r>
      <w:r>
        <w:t xml:space="preserve">representative mockups of that prototype rather than screenshots of a running deployment, and all</w:t>
      </w:r>
      <w:r>
        <w:t xml:space="preserve"> </w:t>
      </w:r>
      <w:r>
        <w:t xml:space="preserve">quantitative results come from the released prompt engine, not from platform usage logs.</w:t>
      </w:r>
    </w:p>
    <w:p>
      <w:pPr>
        <w:pStyle w:val="BodyText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7.2).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framework’s two phases (Figure A1):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framework’s central claim made operational: a learner sees, and is scored on, three</w:t>
      </w:r>
      <w:r>
        <w:t xml:space="preserve"> </w:t>
      </w:r>
      <w:r>
        <w:t xml:space="preserve">different things they did, not one undifferentiated</w:t>
      </w:r>
      <w:r>
        <w:t xml:space="preserve"> </w:t>
      </w:r>
      <w:r>
        <w:t xml:space="preserve">“</w:t>
      </w:r>
      <w:r>
        <w:t xml:space="preserve">AI use.</w:t>
      </w:r>
      <w:r>
        <w:t xml:space="preserve">”</w:t>
      </w:r>
      <w:r>
        <w:t xml:space="preserve"> </w:t>
      </w:r>
      <w:r>
        <w:t xml:space="preserve">The remainder of this section describes</w:t>
      </w:r>
      <w:r>
        <w:t xml:space="preserve"> </w:t>
      </w:r>
      <w:r>
        <w:t xml:space="preserve">the instrument that produces those scores.</w:t>
      </w:r>
    </w:p>
    <w:bookmarkEnd w:id="33"/>
    <w:bookmarkStart w:id="34" w:name="X88f965ab2b6c2a236609197dd879be439c7e389"/>
    <w:p>
      <w:pPr>
        <w:pStyle w:val="Heading2"/>
      </w:pPr>
      <w:r>
        <w:t xml:space="preserve">7.1 Operationalization: a proof-of-concept instrument</w:t>
      </w:r>
    </w:p>
    <w:p>
      <w:pPr>
        <w:pStyle w:val="FirstParagraph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learner’s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</w:t>
      </w:r>
      <w:r>
        <w:t xml:space="preserve"> </w:t>
      </w:r>
      <w:r>
        <w:t xml:space="preserve">“</w:t>
      </w:r>
      <w:r>
        <w:t xml:space="preserve">best</w:t>
      </w:r>
      <w:r>
        <w:t xml:space="preserve"> </w:t>
      </w:r>
      <w:r>
        <w:t xml:space="preserve">framing</w:t>
      </w:r>
      <w:r>
        <w:t xml:space="preserve">”</w:t>
      </w:r>
      <w:r>
        <w:t xml:space="preserve"> </w:t>
      </w:r>
      <w:r>
        <w:t xml:space="preserve">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learner’s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learner’s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34"/>
    <w:bookmarkStart w:id="41" w:name="feasibility-demonstration"/>
    <w:p>
      <w:pPr>
        <w:pStyle w:val="Heading2"/>
      </w:pPr>
      <w:r>
        <w:t xml:space="preserve">8. Feasibility demonstration</w:t>
      </w:r>
    </w:p>
    <w:p>
      <w:pPr>
        <w:pStyle w:val="FirstParagraph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</w:t>
      </w:r>
      <w:r>
        <w:t xml:space="preserve"> </w:t>
      </w:r>
      <w:r>
        <w:t xml:space="preserve">“</w:t>
      </w:r>
      <w:r>
        <w:t xml:space="preserve">learners</w:t>
      </w:r>
      <w:r>
        <w:t xml:space="preserve">”</w:t>
      </w:r>
      <w:r>
        <w:t xml:space="preserve"> </w:t>
      </w:r>
      <w:r>
        <w:t xml:space="preserve">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Each</w:t>
      </w:r>
      <w:r>
        <w:t xml:space="preserve"> </w:t>
      </w:r>
      <w:r>
        <w:t xml:space="preserve">learner is scored by seven grader calls (three skill evaluators, a grading pass per skill, and one</w:t>
      </w:r>
      <w:r>
        <w:t xml:space="preserve"> </w:t>
      </w:r>
      <w:r>
        <w:t xml:space="preserve">steering-update call); grading inputs that are identical across profiles are cached and reused, so the</w:t>
      </w:r>
      <w:r>
        <w:t xml:space="preserve"> </w:t>
      </w:r>
      <w:r>
        <w:t xml:space="preserve">issued total is below the 560 nominal. Framing and Steering responses are generated</w:t>
      </w:r>
      <w:r>
        <w:t xml:space="preserve"> </w:t>
      </w:r>
      <w:r>
        <w:t xml:space="preserve">by the competence-conditioned learner model; Judging is operationalized by a competence-conditioned</w:t>
      </w:r>
      <w:r>
        <w:t xml:space="preserve"> </w:t>
      </w:r>
      <w:r>
        <w:t xml:space="preserve">selection over the challenge’s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Judging’s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skill’s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skills’ competence (dissociation).</w:t>
      </w:r>
    </w:p>
    <w:p>
      <w:pPr>
        <w:pStyle w:val="BodyText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skill’s grade rises when that skill is</w:t>
      </w:r>
      <w:r>
        <w:t xml:space="preserve"> </w:t>
      </w:r>
      <w:r>
        <w:t xml:space="preserve">set to strong. The judging signal is mechanistically transparent: a strong judge flags all four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skill’s own competence on its own grade) averages</w:t>
      </w:r>
      <w:r>
        <w:t xml:space="preserve"> </w:t>
      </w:r>
      <w:r>
        <w:rPr>
          <w:b/>
          <w:bCs/>
        </w:rPr>
        <w:t xml:space="preserve">+1.02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skills’ competence) averages</w:t>
      </w:r>
      <w:r>
        <w:t xml:space="preserve"> </w:t>
      </w:r>
      <w:r>
        <w:rPr>
          <w:b/>
          <w:bCs/>
        </w:rPr>
        <w:t xml:space="preserve">+0.008</w:t>
      </w:r>
      <w:r>
        <w:t xml:space="preserve">. This aggregate ratio is inflated by</w:t>
      </w:r>
      <w:r>
        <w:t xml:space="preserve"> </w:t>
      </w:r>
      <w:r>
        <w:t xml:space="preserve">Judging, whose own-effect (+2.00) is fixed by construction because its competence is operationalized by</w:t>
      </w:r>
      <w:r>
        <w:t xml:space="preserve"> </w:t>
      </w:r>
      <w:r>
        <w:t xml:space="preserve">a controlled selection over ground-truth issues; we therefore do not lead with it. The strongest</w:t>
      </w:r>
      <w:r>
        <w:t xml:space="preserve"> </w:t>
      </w:r>
      <w:r>
        <w:t xml:space="preserve">evidence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 the grader</w:t>
      </w:r>
      <w:r>
        <w:t xml:space="preserve"> </w:t>
      </w:r>
      <w:r>
        <w:t xml:space="preserve">scores without knowing the intended competence: each shows a clear positive own-effect (+0.62 and</w:t>
      </w:r>
      <w:r>
        <w:t xml:space="preserve"> </w:t>
      </w:r>
      <w:r>
        <w:t xml:space="preserve">+0.43) with near-zero cross-effects, so a simulated learner’s three model-assigned grades move</w:t>
      </w:r>
      <w:r>
        <w:t xml:space="preserve"> </w:t>
      </w:r>
      <w:r>
        <w:t xml:space="preserve">independently. Each grade responds to its own skill and is essentially flat in the others (Figure 2).</w:t>
      </w:r>
    </w:p>
    <w:p>
      <w:pPr>
        <w:pStyle w:val="BodyText"/>
      </w:pPr>
      <w:r>
        <w:rPr>
          <w:b/>
          <w:bCs/>
        </w:rPr>
        <w:t xml:space="preserve">Table 2. Effect on each skill’s grade of manipulating each skill’s competence (grade Δ, strong − weak; N=80).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of ↓  manipulated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+0.43</w:t>
            </w:r>
          </w:p>
        </w:tc>
      </w:tr>
    </w:tbl>
    <w:p>
      <w:pPr>
        <w:pStyle w:val="BodyText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cleanest</w:t>
      </w:r>
      <w:r>
        <w:t xml:space="preserve"> </w:t>
      </w:r>
      <w:r>
        <w:t xml:space="preserve">demonstration and the one we lead with: these two skills are scored by entirely separate mechanisms</w:t>
      </w:r>
      <w:r>
        <w:t xml:space="preserve"> </w:t>
      </w:r>
      <w:r>
        <w:t xml:space="preserve">(free-text framing evaluation versus issue-selection judging) yet their grades are uncorrelated, which</w:t>
      </w:r>
      <w:r>
        <w:t xml:space="preserve"> </w:t>
      </w:r>
      <w:r>
        <w:t xml:space="preserve">a single general-ability account cannot produce. We do not lead with the Judging-Steering pair: its</w:t>
      </w:r>
      <w:r>
        <w:t xml:space="preserve"> </w:t>
      </w:r>
      <w:r>
        <w:t xml:space="preserve">significant positive correlation is exactly what Proposition P2 predicts (a ceiling relation, judging</w:t>
      </w:r>
      <w:r>
        <w:t xml:space="preserve"> </w:t>
      </w:r>
      <w:r>
        <w:t xml:space="preserve">gates steering) and so is expected rather than evidence against separability. The first principal</w:t>
      </w:r>
      <w:r>
        <w:t xml:space="preserve"> </w:t>
      </w:r>
      <w:r>
        <w:t xml:space="preserve">component accounts for 43% of the variance, but with only three indicators a formal factor model is</w:t>
      </w:r>
      <w:r>
        <w:t xml:space="preserve"> </w:t>
      </w:r>
      <w:r>
        <w:t xml:space="preserve">under-identified, so we report this descriptively rather than as a confirmatory dimensionality test;</w:t>
      </w:r>
      <w:r>
        <w:t xml:space="preserve"> </w:t>
      </w:r>
      <w:r>
        <w:t xml:space="preserve">the point is simply that the grades do not collapse onto a single dimension.</w:t>
      </w:r>
    </w:p>
    <w:p>
      <w:pPr>
        <w:pStyle w:val="BodyText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designed-contrast personas make the separation concrete (Figure 3).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</w:t>
      </w:r>
      <w:r>
        <w:t xml:space="preserve"> </w:t>
      </w:r>
      <w:r>
        <w:t xml:space="preserve">B, Judging C;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</w:t>
      </w:r>
      <w:r>
        <w:t xml:space="preserve"> </w:t>
      </w:r>
      <w:r>
        <w:t xml:space="preserve">“</w:t>
      </w:r>
      <w:r>
        <w:t xml:space="preserve">AI-use</w:t>
      </w:r>
      <w:r>
        <w:t xml:space="preserve"> </w:t>
      </w:r>
      <w:r>
        <w:t xml:space="preserve">ability</w:t>
      </w:r>
      <w:r>
        <w:t xml:space="preserve">”</w:t>
      </w:r>
      <w:r>
        <w:t xml:space="preserve"> </w:t>
      </w:r>
      <w:r>
        <w:t xml:space="preserve">cannot produce these crossed profiles. Converging evidence comes from outside our synthetic</w:t>
      </w:r>
      <w:r>
        <w:t xml:space="preserve"> </w:t>
      </w:r>
      <w:r>
        <w:t xml:space="preserve">setting: an intervention study finds that students’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</w:t>
      </w:r>
      <w:r>
        <w:t xml:space="preserve"> </w:t>
      </w:r>
      <w:r>
        <w:t xml:space="preserve">queries, checking correctness) predicts effective use, whereas self-rated AI expertise does not</w:t>
      </w:r>
      <w:r>
        <w:t xml:space="preserve"> </w:t>
      </w:r>
      <w:r>
        <w:t xml:space="preserve">(Clerc et al., 2026), consistent with the skill of working with AI being distinct from, and not</w:t>
      </w:r>
      <w:r>
        <w:t xml:space="preserve"> </w:t>
      </w:r>
      <w:r>
        <w:t xml:space="preserve">reducible to, a general self-assessed competence.</w:t>
      </w:r>
    </w:p>
    <w:p>
      <w:pPr>
        <w:pStyle w:val="CaptionedFigure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’s grade." title="" id="36" name="Picture"/>
            <a:graphic>
              <a:graphicData uri="http://schemas.openxmlformats.org/drawingml/2006/picture">
                <pic:pic>
                  <pic:nvPicPr>
                    <pic:cNvPr descr="assets/fig_dissociation_heat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Own-competence effects dominate cross-competence effects on every skill’s grade.</w:t>
      </w:r>
    </w:p>
    <w:p>
      <w:pPr>
        <w:pStyle w:val="BodyText"/>
      </w:pPr>
      <w:r>
        <w:rPr>
          <w:i/>
          <w:iCs/>
        </w:rPr>
        <w:t xml:space="preserve">Figure 2. Effect of manipulating each skill’s competence (columns) on each skill’s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er-skill grades dissociate by competence profile." title="" id="39" name="Picture"/>
            <a:graphic>
              <a:graphicData uri="http://schemas.openxmlformats.org/drawingml/2006/picture">
                <pic:pic>
                  <pic:nvPicPr>
                    <pic:cNvPr descr="assets/fig_contras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Per-skill grades dissociate by competence profile.</w:t>
      </w:r>
    </w:p>
    <w:p>
      <w:pPr>
        <w:pStyle w:val="BodyText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 (bypassing the cache so each repeat is an</w:t>
      </w:r>
      <w:r>
        <w:t xml:space="preserve"> </w:t>
      </w:r>
      <w:r>
        <w:t xml:space="preserve">independent sample at the production temperatures).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The pooled 0.08 flip rate is</w:t>
      </w:r>
      <w:r>
        <w:t xml:space="preserve"> </w:t>
      </w:r>
      <w:r>
        <w:t xml:space="preserve">itself optimistic because Judging contributes a flip rate of zero by construction; the load-bearing</w:t>
      </w:r>
      <w:r>
        <w:t xml:space="preserve"> </w:t>
      </w:r>
      <w:r>
        <w:t xml:space="preserve">figure is the blind-graded skills, whose flip rate is near 0.12.</w:t>
      </w:r>
    </w:p>
    <w:p>
      <w:pPr>
        <w:pStyle w:val="BodyText"/>
      </w:pPr>
      <w:r>
        <w:rPr>
          <w:b/>
          <w:bCs/>
        </w:rPr>
        <w:t xml:space="preserve">Grader-backend robustness.</w:t>
      </w:r>
      <w:r>
        <w:t xml:space="preserve"> </w:t>
      </w:r>
      <w:r>
        <w:t xml:space="preserve">All grades above come from a single grader model (gpt-4o), while the</w:t>
      </w:r>
      <w:r>
        <w:t xml:space="preserve"> </w:t>
      </w:r>
      <w:r>
        <w:t xml:space="preserve">deployed prototype used a different engine (llama-3.3-70b). To probe whether the dissociation is an</w:t>
      </w:r>
      <w:r>
        <w:t xml:space="preserve"> </w:t>
      </w:r>
      <w:r>
        <w:t xml:space="preserve">artifact of one grader, we re-graded the identical 40 transcripts (challenges and learner responses</w:t>
      </w:r>
      <w:r>
        <w:t xml:space="preserve"> </w:t>
      </w:r>
      <w:r>
        <w:t xml:space="preserve">held fixed) with a different model, gpt-4o-mini. The dissociation replicates: own-skill effects again</w:t>
      </w:r>
      <w:r>
        <w:t xml:space="preserve"> </w:t>
      </w:r>
      <w:r>
        <w:t xml:space="preserve">dominate cross-skill effects (diagonal +0.47 versus off-diagonal +0.07). Notably, under the weaker</w:t>
      </w:r>
      <w:r>
        <w:t xml:space="preserve"> </w:t>
      </w:r>
      <w:r>
        <w:t xml:space="preserve">grader Judging’s own-effect falls from +2.00 to +0.65, comparable to Framing’s +0.65, which confirms</w:t>
      </w:r>
      <w:r>
        <w:t xml:space="preserve"> </w:t>
      </w:r>
      <w:r>
        <w:t xml:space="preserve">that the large +2.00 was specific to gpt-4o’s strict adherence to the seeded-issue selection rather</w:t>
      </w:r>
      <w:r>
        <w:t xml:space="preserve"> </w:t>
      </w:r>
      <w:r>
        <w:t xml:space="preserve">than a property of the construct; the separation holds, and in fact becomes more balanced across the</w:t>
      </w:r>
      <w:r>
        <w:t xml:space="preserve"> </w:t>
      </w:r>
      <w:r>
        <w:t xml:space="preserve">three skills, under a second backend. (Steering’s own-effect remains the weakest, +0.10 here,</w:t>
      </w:r>
      <w:r>
        <w:t xml:space="preserve"> </w:t>
      </w:r>
      <w:r>
        <w:t xml:space="preserve">consistent with the Proposition-P2 confound discussed below rather than absence of the construct.)</w:t>
      </w:r>
    </w:p>
    <w:p>
      <w:pPr>
        <w:pStyle w:val="BodyText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instrument’s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model’s own judgment, we re-graded the original</w:t>
      </w:r>
      <w:r>
        <w:t xml:space="preserve"> </w:t>
      </w:r>
      <w:r>
        <w:t xml:space="preserve">40-learner subset with that scaffolding removed (comparing against that subset’s own baseline, where</w:t>
      </w:r>
      <w:r>
        <w:t xml:space="preserve"> </w:t>
      </w:r>
      <w:r>
        <w:t xml:space="preserve">the effects are Framing 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model’s own judgment carry it. Judging discrimination, by contrast, largely collapses (+2.00 to +0.45):</w:t>
      </w:r>
      <w:r>
        <w:t xml:space="preserve"> </w:t>
      </w:r>
      <w:r>
        <w:t xml:space="preserve">without the known issues the grader has no recall-precision anchor and can barely separate strong from</w:t>
      </w:r>
      <w:r>
        <w:t xml:space="preserve"> </w:t>
      </w:r>
      <w:r>
        <w:t xml:space="preserve">weak judging. Steering falls in between (+0.50 to +0.25). Separability itself survives (the skills still</w:t>
      </w:r>
      <w:r>
        <w:t xml:space="preserve"> </w:t>
      </w:r>
      <w:r>
        <w:t xml:space="preserve">dissociate, ratio 29), but the result clarifies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is close to a</w:t>
      </w:r>
      <w:r>
        <w:t xml:space="preserve"> </w:t>
      </w:r>
      <w:r>
        <w:t xml:space="preserve">measurement of agreement with a known answer key. This both explains Judging’s by-construction +2.00</w:t>
      </w:r>
      <w:r>
        <w:t xml:space="preserve"> </w:t>
      </w:r>
      <w:r>
        <w:t xml:space="preserve">and bounds its transfer to open-ended settings where no such key exists, an important caveat for any</w:t>
      </w:r>
      <w:r>
        <w:t xml:space="preserve"> </w:t>
      </w:r>
      <w:r>
        <w:t xml:space="preserve">deployment that scores judging without seeded ground truth.</w:t>
      </w:r>
    </w:p>
    <w:p>
      <w:pPr>
        <w:pStyle w:val="BodyText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Judging’s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confirms the grader correctly rewards</w:t>
      </w:r>
      <w:r>
        <w:t xml:space="preserve"> </w:t>
      </w:r>
      <w:r>
        <w:t xml:space="preserve">recall/precision but is not, by itself, a discovered separation. Framing and Steering responses are</w:t>
      </w:r>
      <w:r>
        <w:t xml:space="preserve"> </w:t>
      </w:r>
      <w:r>
        <w:t xml:space="preserve">free-text and blind-graded, so their positive own-effects (+0.60, +0.50) with near-zero cross-effects</w:t>
      </w:r>
      <w:r>
        <w:t xml:space="preserve"> </w:t>
      </w:r>
      <w:r>
        <w:t xml:space="preserve">are the stronger evidence.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With three grade indicators a stable factor model is</w:t>
      </w:r>
      <w:r>
        <w:t xml:space="preserve"> </w:t>
      </w:r>
      <w:r>
        <w:t xml:space="preserve">under-identified, so we report the manipulation-based effect matrix and the inter-skill correlations</w:t>
      </w:r>
      <w:r>
        <w:t xml:space="preserve"> </w:t>
      </w:r>
      <w:r>
        <w:t xml:space="preserve">rather than an exploratory factor analysis. (iv) Steering shows the weakest own-effect (+0.50). We</w:t>
      </w:r>
      <w:r>
        <w:t xml:space="preserve"> </w:t>
      </w:r>
      <w:r>
        <w:t xml:space="preserve">initially attributed this to grader leniency and tested that hypothesis directly with an ablation:</w:t>
      </w:r>
      <w:r>
        <w:t xml:space="preserve"> </w:t>
      </w:r>
      <w:r>
        <w:t xml:space="preserve">re-grading the original 40-learner subset under a deliberately strict steering rubric (which mandates a C for vague</w:t>
      </w:r>
      <w:r>
        <w:t xml:space="preserve"> </w:t>
      </w:r>
      <w:r>
        <w:t xml:space="preserve">or non-prioritized commands). The strict rubric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recover a larger effect, the steering</w:t>
      </w:r>
      <w:r>
        <w:t xml:space="preserve"> </w:t>
      </w:r>
      <w:r>
        <w:t xml:space="preserve">own-effect was +0.40, statistically indistinguishable from +0.50, while the overall dissociation</w:t>
      </w:r>
      <w:r>
        <w:t xml:space="preserve"> </w:t>
      </w:r>
      <w:r>
        <w:t xml:space="preserve">persisted (ratio 27.5; the designed contrasts still decouple). The weak steering signal is therefore</w:t>
      </w:r>
      <w:r>
        <w:t xml:space="preserve"> </w:t>
      </w:r>
      <w:r>
        <w:t xml:space="preserve">not a simple rubric-leniency artifact. The more likely causes are the confound that Proposition P2</w:t>
      </w:r>
      <w:r>
        <w:t xml:space="preserve"> </w:t>
      </w:r>
      <w:r>
        <w:t xml:space="preserve">predicts (steering quality is bounded by the judging it follows, so a competence manipulation on</w:t>
      </w:r>
      <w:r>
        <w:t xml:space="preserve"> </w:t>
      </w:r>
      <w:r>
        <w:t xml:space="preserve">steering alone has limited headroom) and homogeneity in the simulated steering responses; both are best</w:t>
      </w:r>
      <w:r>
        <w:t xml:space="preserve"> </w:t>
      </w:r>
      <w:r>
        <w:t xml:space="preserve">resolved with human steering data, which we leave to the validation study.</w:t>
      </w:r>
    </w:p>
    <w:bookmarkEnd w:id="41"/>
    <w:bookmarkStart w:id="42" w:name="tensions-and-boundary-conditions"/>
    <w:p>
      <w:pPr>
        <w:pStyle w:val="Heading2"/>
      </w:pPr>
      <w:r>
        <w:t xml:space="preserve">9. Tensions and boundary conditions</w:t>
      </w:r>
    </w:p>
    <w:p>
      <w:pPr>
        <w:pStyle w:val="FirstParagraph"/>
      </w:pPr>
      <w:r>
        <w:t xml:space="preserve">A mature account must confront four tensions rather than paper over them.</w:t>
      </w:r>
    </w:p>
    <w:p>
      <w:pPr>
        <w:pStyle w:val="BodyText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learner’s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framework’s applicability at the</w:t>
      </w:r>
      <w:r>
        <w:t xml:space="preserve"> </w:t>
      </w:r>
      <w:r>
        <w:t xml:space="preserve">expert frontier.</w:t>
      </w:r>
    </w:p>
    <w:bookmarkEnd w:id="42"/>
    <w:bookmarkStart w:id="43" w:name="a-validation-and-assessment-agenda"/>
    <w:p>
      <w:pPr>
        <w:pStyle w:val="Heading2"/>
      </w:pPr>
      <w:r>
        <w:t xml:space="preserve">10. A validation and assessment agenda</w:t>
      </w:r>
    </w:p>
    <w:p>
      <w:pPr>
        <w:pStyle w:val="FirstParagraph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Cohen’s</w:t>
      </w:r>
      <w:r>
        <w:t xml:space="preserve"> </w:t>
      </w:r>
      <m:oMath>
        <m:r>
          <m:t>κ</m:t>
        </m:r>
      </m:oMath>
      <w:r>
        <w:t xml:space="preserve">, Fleiss’</w:t>
      </w:r>
      <w:r>
        <w:t xml:space="preserve"> </w:t>
      </w:r>
      <m:oMath>
        <m:r>
          <m:t>κ</m:t>
        </m:r>
      </m:oMath>
      <w:r>
        <w:t xml:space="preserve">, and ordinal Krippendorff’s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framework’s</w:t>
      </w:r>
      <w:r>
        <w:t xml:space="preserve"> </w:t>
      </w:r>
      <w:r>
        <w:t xml:space="preserve">signal from any single model’s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43"/>
    <w:bookmarkStart w:id="44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dissociation replicates under a second grader backend, but both are from</w:t>
      </w:r>
      <w:r>
        <w:t xml:space="preserve"> </w:t>
      </w:r>
      <w:r>
        <w:t xml:space="preserve">one provider, and the deployed prototype’s engine (llama-3.3-70b) differs again, so cross-vendor</w:t>
      </w:r>
      <w:r>
        <w:t xml:space="preserve"> </w:t>
      </w:r>
      <w:r>
        <w:t xml:space="preserve">robustness is only partly established. The challenges are English-language, and the automated grades</w:t>
      </w:r>
      <w:r>
        <w:t xml:space="preserve"> </w:t>
      </w:r>
      <w:r>
        <w:t xml:space="preserve">have not yet been validated against human experts (Section 10). Two construct-specific limits deserve</w:t>
      </w:r>
      <w:r>
        <w:t xml:space="preserve"> </w:t>
      </w:r>
      <w:r>
        <w:t xml:space="preserve">emphasis. First, Judging as instrumented here is close to a measurement of agreement with a seeded</w:t>
      </w:r>
      <w:r>
        <w:t xml:space="preserve"> </w:t>
      </w:r>
      <w:r>
        <w:t xml:space="preserve">answer key: removing that key collapses its discrimination (Section 8), so the instrument’s judging</w:t>
      </w:r>
      <w:r>
        <w:t xml:space="preserve"> </w:t>
      </w:r>
      <w:r>
        <w:t xml:space="preserve">score would not transfer unchanged to open-ended settings without ground truth. Second, Steering yields</w:t>
      </w:r>
      <w:r>
        <w:t xml:space="preserve"> </w:t>
      </w:r>
      <w:r>
        <w:t xml:space="preserve">the weakest and partly confounded signal (it is bounded by the judging it follows, Proposition P2), and</w:t>
      </w:r>
      <w:r>
        <w:t xml:space="preserve"> </w:t>
      </w:r>
      <w:r>
        <w:t xml:space="preserve">its measurement is the least mature. We make no learning-outcome claim. What the paper establishes is</w:t>
      </w:r>
      <w:r>
        <w:t xml:space="preserve"> </w:t>
      </w:r>
      <w:r>
        <w:t xml:space="preserve">conceptual: a theoretically-grounded decomposition with stated propositions, a precise novelty</w:t>
      </w:r>
      <w:r>
        <w:t xml:space="preserve"> </w:t>
      </w:r>
      <w:r>
        <w:t xml:space="preserve">boundary, and evidence that the three constructs are separable and automatically measurable.</w:t>
      </w:r>
    </w:p>
    <w:bookmarkEnd w:id="44"/>
    <w:bookmarkStart w:id="45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45"/>
    <w:bookmarkStart w:id="52" w:name="appendix-a.-system-walkthrough"/>
    <w:p>
      <w:pPr>
        <w:pStyle w:val="Heading2"/>
      </w:pPr>
      <w:r>
        <w:t xml:space="preserve">Appendix A. System walkthrough</w:t>
      </w:r>
    </w:p>
    <w:p>
      <w:pPr>
        <w:pStyle w:val="FirstParagraph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framework’s central claim that productive AI use is not one skill but three.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igure A1. A CoReasoning Lab challenge run." title="" id="47" name="Picture"/>
            <a:graphic>
              <a:graphicData uri="http://schemas.openxmlformats.org/drawingml/2006/picture">
                <pic:pic>
                  <pic:nvPicPr>
                    <pic:cNvPr descr="assets/system-mockup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A1. A CoReasoning Lab challenge run.</w:t>
      </w:r>
    </w:p>
    <w:p>
      <w:pPr>
        <w:pStyle w:val="BodyText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CaptionedFigure"/>
      </w:pPr>
      <w:r>
        <w:drawing>
          <wp:inline>
            <wp:extent cx="5334000" cy="3745148"/>
            <wp:effectExtent b="0" l="0" r="0" t="0"/>
            <wp:docPr descr="Figure A2. CoReasoning Lab role interfaces." title="" id="50" name="Picture"/>
            <a:graphic>
              <a:graphicData uri="http://schemas.openxmlformats.org/drawingml/2006/picture">
                <pic:pic>
                  <pic:nvPicPr>
                    <pic:cNvPr descr="assets/interface-gallery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5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A2. CoReasoning Lab role interfaces.</w:t>
      </w:r>
    </w:p>
    <w:p>
      <w:pPr>
        <w:pStyle w:val="BodyText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Acar, O. A. (2023). AI Prompt Engineering Isn’t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BodyText"/>
      </w:pPr>
      <w:r>
        <w:t xml:space="preserve">Anderson, L. W., &amp; Krathwohl, D. R. (2001). A Taxonomy for Learning, Teaching, and Assessing: A Revision of Bloom’s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BodyText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BodyText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BodyText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BodyText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BodyText"/>
      </w:pPr>
      <w:r>
        <w:t xml:space="preserve">Bu{</w:t>
      </w:r>
      <w:r>
        <w:t xml:space="preserve">}inca,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BodyText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BodyText"/>
      </w:pPr>
      <w:r>
        <w:t xml:space="preserve">Clerc, O., Abdelghani, R., Desvaux, C., Poisson, E., Oudeyer, P., &amp; Sauz{'e}on, H. (2026). Teaching Students to Question the Machine: An AI Literacy Intervention Improves Students’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BodyText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BodyText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BodyText"/>
      </w:pPr>
      <w:r>
        <w:t xml:space="preserve">Dell’Acqua,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BodyText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BodyText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BodyText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BodyText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BodyText"/>
      </w:pPr>
      <w:r>
        <w:t xml:space="preserve">Fan, Y., Tang, L., Le, H., Shen, K., Tan, S., Zhao, Y., Shen, Y., Li, X., &amp; Ga{</w:t>
      </w:r>
      <w:r>
        <w:t xml:space="preserve">}evi{'c},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BodyText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BodyText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BodyText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BodyText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BodyText"/>
      </w:pPr>
      <w:r>
        <w:t xml:space="preserve">Gilson, L. L., &amp; Goldberg, C. B. (2015). Editors’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BodyText"/>
      </w:pPr>
      <w:r>
        <w:t xml:space="preserve">Gro{</w:t>
      </w:r>
      <w:r>
        <w:t xml:space="preserve">}e,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BodyText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BodyText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BodyText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BodyText"/>
      </w:pPr>
      <w:r>
        <w:t xml:space="preserve">Jin, Y., Martinez-Maldonado, R., Ga{</w:t>
      </w:r>
      <w:r>
        <w:t xml:space="preserve">}evi{'c},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BodyText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BodyText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BodyText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BodyText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BodyText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BodyText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BodyText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BodyText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BodyText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BodyText"/>
      </w:pPr>
      <w:r>
        <w:t xml:space="preserve">Messick, S. (1995). Validity of Psychological Assessment: Validation of Inferences from Persons’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BodyText"/>
      </w:pPr>
      <w:r>
        <w:t xml:space="preserve">Nazaretsky, T., Gabbay, H., &amp; K{"a}ser,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BodyText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BodyText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BodyText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BodyText"/>
      </w:pPr>
      <w:r>
        <w:t xml:space="preserve">Randazzo, B., Lifshitz-Assaf, H., Kellogg, K., Dell’Acqua,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BodyText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BodyText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BodyText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BodyText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BodyText"/>
      </w:pPr>
      <w:r>
        <w:t xml:space="preserve">Sperber, D., Cl{'e}ment,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BodyText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BodyText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BodyText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BodyText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BodyText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BodyText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BodyText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BodyText"/>
      </w:pPr>
      <w:r>
        <w:t xml:space="preserve">{UNESCO}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svg" /><Relationship Type="http://schemas.openxmlformats.org/officeDocument/2006/relationships/image" Id="rId38" Target="media/rId38.png" /><Relationship Type="http://schemas.openxmlformats.org/officeDocument/2006/relationships/image" Id="rId35" Target="media/rId35.png" /><Relationship Type="http://schemas.openxmlformats.org/officeDocument/2006/relationships/image" Id="rId49" Target="media/rId49.svg" /><Relationship Type="http://schemas.openxmlformats.org/officeDocument/2006/relationships/image" Id="rId46" Target="media/rId4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2026-06-01T08:32:11Z</dcterms:created>
  <dcterms:modified xsi:type="dcterms:W3CDTF">2026-06-01T08:32:11Z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