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we report a feasibility demonstration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(own-skill grade effects exceed cross-skill effects by roughly sixty to one, with near-zero inter-skill</w:t>
      </w:r>
      <w:r>
        <w:t xml:space="preserve"> </w:t>
      </w:r>
      <w:r>
        <w:t xml:space="preserve">correlations) and that the automated grader is 92% self-consistent, with simulated learners generated</w:t>
      </w:r>
      <w:r>
        <w:t xml:space="preserve"> </w:t>
      </w:r>
      <w:r>
        <w:t xml:space="preserve">and graded by different models to avoid self-grading. We make no learning-outcome claims; the evidence</w:t>
      </w:r>
      <w:r>
        <w:t xml:space="preserve"> </w:t>
      </w:r>
      <w:r>
        <w:t xml:space="preserve">establishes that the constructs are separable and automatically measurable, and we close with the</w:t>
      </w:r>
      <w:r>
        <w:t xml:space="preserve"> </w:t>
      </w:r>
      <w:r>
        <w:t xml:space="preserve">tensions a mature account must resolve and a concrete validation agenda.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, so own-skill effects exceed cross-skill</w:t>
      </w:r>
      <w:r>
        <w:t xml:space="preserve"> </w:t>
      </w:r>
      <w:r>
        <w:t xml:space="preserve">effects by more than an order of magnitude (about 60 to 1).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factor accounts for only 42% of the variance, far below the near-100% a single</w:t>
      </w:r>
      <w:r>
        <w:t xml:space="preserve"> </w:t>
      </w:r>
      <w:r>
        <w:t xml:space="preserve">“</w:t>
      </w:r>
      <w:r>
        <w:t xml:space="preserve">AI-use ability</w:t>
      </w:r>
      <w:r>
        <w:t xml:space="preserve">”</w:t>
      </w:r>
      <w:r>
        <w:t xml:space="preserve"> </w:t>
      </w:r>
      <w:r>
        <w:t xml:space="preserve">account would predict.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2026-06-01T07:36:21Z</dcterms:created>
  <dcterms:modified xsi:type="dcterms:W3CDTF">2026-06-01T07:36:21Z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