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As models absorb more of the execution, this</w:t>
      </w:r>
      <w:r>
        <w:t xml:space="preserve"> </w:t>
      </w:r>
      <w:r>
        <w:t xml:space="preserve">collaborative work is the part of competent performance that stays with the person, which is precisely</w:t>
      </w:r>
      <w:r>
        <w:t xml:space="preserve"> </w:t>
      </w:r>
      <w:r>
        <w:t xml:space="preserve">what assessment must now target.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The result is carried by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 without</w:t>
      </w:r>
      <w:r>
        <w:t xml:space="preserve"> </w:t>
      </w:r>
      <w:r>
        <w:t xml:space="preserve">knowing the intended competence: each moves with its own manipulated competence while staying flat in</w:t>
      </w:r>
      <w:r>
        <w:t xml:space="preserve"> </w:t>
      </w:r>
      <w:r>
        <w:t xml:space="preserve">the others, and the cleanest pair (Framing and Judging) is uncorrelated despite being scored by</w:t>
      </w:r>
      <w:r>
        <w:t xml:space="preserve"> </w:t>
      </w:r>
      <w:r>
        <w:t xml:space="preserve">entirely separate mechanisms. The same instrument returns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grades when a single competence</w:t>
      </w:r>
      <w:r>
        <w:t xml:space="preserve"> </w:t>
      </w:r>
      <w:r>
        <w:t xml:space="preserve">is shared across the three skills, so the separation reflects the learners rather than the scoring</w:t>
      </w:r>
      <w:r>
        <w:t xml:space="preserve"> </w:t>
      </w:r>
      <w:r>
        <w:t xml:space="preserve">(convergent and discriminant validity). The separation holds under three grader backends spanning two</w:t>
      </w:r>
      <w:r>
        <w:t xml:space="preserve"> </w:t>
      </w:r>
      <w:r>
        <w:t xml:space="preserve">providers, which also agree on each skill at the per-learner level, and the grader is highly</w:t>
      </w:r>
      <w:r>
        <w:t xml:space="preserve"> </w:t>
      </w:r>
      <w:r>
        <w:t xml:space="preserve">self-consistent on repeat. The constructs are therefore separable and automatically scoreable; agreement with human raters and learning outcomes are the defined next</w:t>
      </w:r>
      <w:r>
        <w:t xml:space="preserve"> </w:t>
      </w:r>
      <w:r>
        <w:t xml:space="preserve">steps of the program, for which we release a prepared validation protocol alongside the instrument and</w:t>
      </w:r>
      <w:r>
        <w:t xml:space="preserve"> </w:t>
      </w:r>
      <w:r>
        <w:t xml:space="preserve">data.</w:t>
      </w:r>
    </w:p>
    <w:bookmarkEnd w:id="9"/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does not disappear; it concentrates in the operations a</w:t>
      </w:r>
      <w:r>
        <w:t xml:space="preserve"> </w:t>
      </w:r>
      <w:r>
        <w:t xml:space="preserve">system cannot perform on its own behalf: choosing which problem is worth solving and specifying it,</w:t>
      </w:r>
      <w:r>
        <w:t xml:space="preserve"> </w:t>
      </w:r>
      <w:r>
        <w:t xml:space="preserve">judging whether a fluent output is actually right, and redirecting the model when it is not. The field</w:t>
      </w:r>
      <w:r>
        <w:t xml:space="preserve"> </w:t>
      </w:r>
      <w:r>
        <w:t xml:space="preserve">evidence that AI's value is conditional on the user's skill (Dell'Acqua et al., 2023; Vaccaro et al.,</w:t>
      </w:r>
      <w:r>
        <w:t xml:space="preserve"> </w:t>
      </w:r>
      <w:r>
        <w:t xml:space="preserve">2024) implies that this conditioning tightens rather than loosens as systems improve, so the durable,</w:t>
      </w:r>
      <w:r>
        <w:t xml:space="preserve"> </w:t>
      </w:r>
      <w:r>
        <w:t xml:space="preserve">assessable human skill shifts from executing a task to framing, judging, and steering it (Acar, 2023;</w:t>
      </w:r>
      <w:r>
        <w:t xml:space="preserve"> </w:t>
      </w:r>
      <w:r>
        <w:t xml:space="preserve">Denny et al., 2024) (Figure 1). An assessment that still measures unaided execution therefore measures</w:t>
      </w:r>
      <w:r>
        <w:t xml:space="preserve"> </w:t>
      </w:r>
      <w:r>
        <w:t xml:space="preserve">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71799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C:/Users/apart/AppData/Local/Temp/html2doc_svg_4uN5wz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1 (schematic). As models absorb more of the execution, the part of a task a competent person</w:t>
      </w:r>
      <w:r>
        <w:rPr>
          <w:i/>
          <w:iCs/>
        </w:rPr>
        <w:t xml:space="preserve"> </w:t>
      </w:r>
      <w:r>
        <w:rPr>
          <w:i/>
          <w:iCs/>
        </w:rPr>
        <w:t xml:space="preserve">must still own shifts from doing the work toward framing, judging, and steering it; the axes are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conceptual, not quantitative. CoReasoning is a decomposition and assessment of that shifting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skills are separately measurable,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;</w:t>
      </w:r>
      <w:r>
        <w:t xml:space="preserve"> </w:t>
      </w:r>
      <w:r>
        <w:t xml:space="preserve">the efficacy study that tests learning outcomes is the next stage of the program (Section 10).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4"/>
    <w:bookmarkStart w:id="21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06697"/>
            <wp:effectExtent b="0" l="0" r="0" t="0"/>
            <wp:docPr descr="Figure 2. The CoReasoning architecture." title="" id="1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4uN5wz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6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8"/>
    <w:bookmarkStart w:id="19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 Rubric-based LLM grading studies</w:t>
      </w:r>
      <w:r>
        <w:t xml:space="preserve"> </w:t>
      </w:r>
      <w:r>
        <w:t xml:space="preserve">report high agreement with human raters (intraclass correlation up to 0.97) yet systematic divergence on</w:t>
      </w:r>
      <w:r>
        <w:t xml:space="preserve"> </w:t>
      </w:r>
      <w:r>
        <w:t xml:space="preserve">subjective criteria (Yavuz et al., 2025); the multitrait-multimethod design we use across three grader</w:t>
      </w:r>
      <w:r>
        <w:t xml:space="preserve"> </w:t>
      </w:r>
      <w:r>
        <w:t xml:space="preserve">backends (Section 8) treats that grader-method variance as a measured term rather than a confound.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only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Evaluative judgement and named-competency frameworks.</w:t>
      </w:r>
      <w:r>
        <w:t xml:space="preserve"> </w:t>
      </w:r>
      <w:r>
        <w:t xml:space="preserve">The capacity to discern quality,</w:t>
      </w:r>
      <w:r>
        <w:t xml:space="preserve"> </w:t>
      </w:r>
      <w:r>
        <w:rPr>
          <w:i/>
          <w:iCs/>
        </w:rPr>
        <w:t xml:space="preserve">evaluative</w:t>
      </w:r>
      <w:r>
        <w:rPr>
          <w:i/>
          <w:iCs/>
        </w:rPr>
        <w:t xml:space="preserve"> </w:t>
      </w:r>
      <w:r>
        <w:rPr>
          <w:i/>
          <w:iCs/>
        </w:rPr>
        <w:t xml:space="preserve">judgement</w:t>
      </w:r>
      <w:r>
        <w:t xml:space="preserve">, has been argued to be the core human capability for the generative-AI era (Bearman et al.,</w:t>
      </w:r>
      <w:r>
        <w:t xml:space="preserve"> </w:t>
      </w:r>
      <w:r>
        <w:t xml:space="preserve">2024), and students are observed to make continuous in-the-loop accept-and-reject judgements while</w:t>
      </w:r>
      <w:r>
        <w:t xml:space="preserve"> </w:t>
      </w:r>
      <w:r>
        <w:t xml:space="preserve">working with AI on assessment tasks (Walton et al., 2025). Our Judging skill operationalizes evaluative</w:t>
      </w:r>
      <w:r>
        <w:t xml:space="preserve"> </w:t>
      </w:r>
      <w:r>
        <w:t xml:space="preserve">judgement specifically for AI output; CoReasoning then departs from a unified-judgement account by</w:t>
      </w:r>
      <w:r>
        <w:t xml:space="preserve"> </w:t>
      </w:r>
      <w:r>
        <w:t xml:space="preserve">separating it from the generative acts of Framing and Steering, treating evaluation as one of three</w:t>
      </w:r>
      <w:r>
        <w:t xml:space="preserve"> </w:t>
      </w:r>
      <w:r>
        <w:t xml:space="preserve">independently-measurable skills rather than a single overarching disposition. Two findings reinforce</w:t>
      </w:r>
      <w:r>
        <w:t xml:space="preserve"> </w:t>
      </w:r>
      <w:r>
        <w:t xml:space="preserve">that Judging is a separable, demanding construct: critical evaluation is the single highest-load</w:t>
      </w:r>
      <w:r>
        <w:t xml:space="preserve"> </w:t>
      </w:r>
      <w:r>
        <w:t xml:space="preserve">activity in AI-assisted writing (Yao &amp; Fan, 2025), and users default to uncritically accepting AI</w:t>
      </w:r>
      <w:r>
        <w:t xml:space="preserve"> </w:t>
      </w:r>
      <w:r>
        <w:t xml:space="preserve">output absent intervention (Wingerter et al., 2025). Among named competency frameworks, the AI Quotient</w:t>
      </w:r>
      <w:r>
        <w:t xml:space="preserve"> </w:t>
      </w:r>
      <w:r>
        <w:t xml:space="preserve">enumerates eight broad collaboration dimensions (Ganuthula &amp; Balaraman, 2025); CoReasoning instead</w:t>
      </w:r>
      <w:r>
        <w:t xml:space="preserve"> </w:t>
      </w:r>
      <w:r>
        <w:t xml:space="preserve">collapses to three minimal, independently-assessable skills and, crucially, splits the single</w:t>
      </w:r>
      <w:r>
        <w:t xml:space="preserve"> </w:t>
      </w:r>
      <w:r>
        <w:t xml:space="preserve">prompt-engineering dimension that such frameworks leave fused into a pre-generation Framing skill and a</w:t>
      </w:r>
      <w:r>
        <w:t xml:space="preserve"> </w:t>
      </w:r>
      <w:r>
        <w:t xml:space="preserve">post-generation Steering skill. Frameworks that partition coursework by assessment mode rather than by</w:t>
      </w:r>
      <w:r>
        <w:t xml:space="preserve"> </w:t>
      </w:r>
      <w:r>
        <w:t xml:space="preserve">cognitive skill (Elshall &amp; Badir, 2025) are orthogonal and complementary.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4"/>
    <w:bookmarkStart w:id="25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a runnable open-source web platform, which we</w:t>
      </w:r>
      <w:r>
        <w:t xml:space="preserve"> </w:t>
      </w:r>
      <w:r>
        <w:t xml:space="preserve">describe here so that the abstract skills map onto a concrete learner experience. The platform is a</w:t>
      </w:r>
      <w:r>
        <w:t xml:space="preserve"> </w:t>
      </w:r>
      <w:r>
        <w:t xml:space="preserve">Node/Express application with role-based access (student, instructor, administrator), a challenge</w:t>
      </w:r>
      <w:r>
        <w:t xml:space="preserve"> </w:t>
      </w:r>
      <w:r>
        <w:t xml:space="preserve">database, practice and assessment modes, multiple-choice and open-ended response formats per phase, and</w:t>
      </w:r>
      <w:r>
        <w:t xml:space="preserve"> </w:t>
      </w:r>
      <w:r>
        <w:t xml:space="preserve">a five-language content library (English, Hebrew, German, Spanish, French). Its full source, the web</w:t>
      </w:r>
      <w:r>
        <w:t xml:space="preserve"> </w:t>
      </w:r>
      <w:r>
        <w:t xml:space="preserve">application, the database schema, the content 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sixteen prompts</w:t>
      </w:r>
      <w:r>
        <w:t xml:space="preserve"> </w:t>
      </w:r>
      <w:r>
        <w:t xml:space="preserve">(Section 7.1), is released, alongside a pedagogical-foundations document mapping the design to learning</w:t>
      </w:r>
      <w:r>
        <w:t xml:space="preserve"> </w:t>
      </w:r>
      <w:r>
        <w:t xml:space="preserve">theory. Figures A1 and A2 render the platform's interface. All challenges evaluated in this paper are</w:t>
      </w:r>
      <w:r>
        <w:t xml:space="preserve"> </w:t>
      </w:r>
      <w:r>
        <w:t xml:space="preserve">English-language (Section 11), and the quantitative results come from the scoring engine over controlled</w:t>
      </w:r>
      <w:r>
        <w:t xml:space="preserve"> </w:t>
      </w:r>
      <w:r>
        <w:t xml:space="preserve">inputs rather than from production usage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redesign: the</w:t>
      </w:r>
      <w:r>
        <w:t xml:space="preserve"> </w:t>
      </w:r>
      <w:r>
        <w:t xml:space="preserve">feasibility demonstration exercises it unchanged across ten subjects (Section 8) and two grader models,</w:t>
      </w:r>
      <w:r>
        <w:t xml:space="preserve"> </w:t>
      </w:r>
      <w:r>
        <w:t xml:space="preserve">and the released artifact lets others add their own. The monitor-control scaffold is likewise open to</w:t>
      </w:r>
      <w:r>
        <w:t xml:space="preserve"> </w:t>
      </w:r>
      <w:r>
        <w:t xml:space="preserve">additional skills where a setting calls for them; the three are a deliberately small decomposition that</w:t>
      </w:r>
      <w:r>
        <w:t xml:space="preserve"> </w:t>
      </w:r>
      <w:r>
        <w:t xml:space="preserve">separates pre-generation, evaluative, and post-generation control. The released instrument is therefore</w:t>
      </w:r>
      <w:r>
        <w:t xml:space="preserve"> </w:t>
      </w:r>
      <w:r>
        <w:t xml:space="preserve">usable as a starting point for others to extend, not only to reproduce.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5"/>
    <w:bookmarkStart w:id="26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platform, a library</w:t>
      </w:r>
      <w:r>
        <w:t xml:space="preserve"> </w:t>
      </w:r>
      <w:r>
        <w:t xml:space="preserve">of sixteen prompts spanning challenge construction, AI generation, and evaluation. The released library</w:t>
      </w:r>
      <w:r>
        <w:t xml:space="preserve"> </w:t>
      </w:r>
      <w:r>
        <w:t xml:space="preserve">carries the platform's evaluation logic verbatim, the same rubrics, criteria, and system prompts as the</w:t>
      </w:r>
      <w:r>
        <w:t xml:space="preserve"> </w:t>
      </w:r>
      <w:r>
        <w:t xml:space="preserve">deployed application; the only adaptation is that JSON output formatting is supplied by the research</w:t>
      </w:r>
      <w:r>
        <w:t xml:space="preserve"> </w:t>
      </w:r>
      <w:r>
        <w:t xml:space="preserve">harness rather than embedded in each prompt. The surrounding harness (simulated-learner generation, the</w:t>
      </w:r>
      <w:r>
        <w:t xml:space="preserve"> </w:t>
      </w:r>
      <w:r>
        <w:t xml:space="preserve">crossed factorial, and the analysis) is research orchestration around that fixed evaluation logic, not a</w:t>
      </w:r>
      <w:r>
        <w:t xml:space="preserve"> </w:t>
      </w:r>
      <w:r>
        <w:t xml:space="preserve">reimplementation of it, so the measurements characterize the instrument itself.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scope note: the grader is a language model, so the results below characterize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</w:t>
      </w:r>
      <w:r>
        <w:t xml:space="preserve"> </w:t>
      </w:r>
      <w:r>
        <w:t xml:space="preserve">of the instrument (whether it separates controlled competence levels and dissociates the skills);</w:t>
      </w:r>
      <w:r>
        <w:t xml:space="preserve"> </w:t>
      </w:r>
      <w:r>
        <w:t xml:space="preserve">agreement with human experts is the separate validity question the prepared study in Section 10</w:t>
      </w:r>
      <w:r>
        <w:t xml:space="preserve"> </w:t>
      </w:r>
      <w:r>
        <w:t xml:space="preserve">addresses.</w:t>
      </w:r>
    </w:p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11).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skills (traits) separate. Construct validity also requires the</w:t>
      </w:r>
      <w:r>
        <w:t xml:space="preserve"> </w:t>
      </w:r>
      <w:r>
        <w:t xml:space="preserve">complementary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property, that the same skill measured by different methods agrees, and that</w:t>
      </w:r>
      <w:r>
        <w:t xml:space="preserve"> </w:t>
      </w:r>
      <w:r>
        <w:t xml:space="preserve">the instrument reports correlation when the underlying competence really is shared (Campbell &amp; Fiske,</w:t>
      </w:r>
      <w:r>
        <w:t xml:space="preserve"> </w:t>
      </w:r>
      <w:r>
        <w:t xml:space="preserve">1959). Two analyses supply it. First, treating the three grader backends as independent methods, the</w:t>
      </w:r>
      <w:r>
        <w:t xml:space="preserve"> </w:t>
      </w:r>
      <w:r>
        <w:t xml:space="preserve">same skill graded by gpt-4o, gpt-4o-mini, and the independent-vendor llama-3.3-70b agrees at the</w:t>
      </w:r>
      <w:r>
        <w:t xml:space="preserve"> </w:t>
      </w:r>
      <w:r>
        <w:t xml:space="preserve">per-learner level for the two skills with the widest grade range (mean pairwise rank correlation +0.57</w:t>
      </w:r>
      <w:r>
        <w:t xml:space="preserve"> </w:t>
      </w:r>
      <w:r>
        <w:t xml:space="preserve">for Framing and +0.67 for Judging across the 40 shared transcripts),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</w:t>
      </w:r>
      <w:r>
        <w:t xml:space="preserve"> </w:t>
      </w:r>
      <w:r>
        <w:t xml:space="preserve">zero, the convergent-high / discriminant-low pattern a valid measure should show; Steering's narrower</w:t>
      </w:r>
      <w:r>
        <w:t xml:space="preserve"> </w:t>
      </w:r>
      <w:r>
        <w:t xml:space="preserve">range under the P2 ceiling yields a lower cross-method correlation (+0.21), a restriction of variance</w:t>
      </w:r>
      <w:r>
        <w:t xml:space="preserve"> </w:t>
      </w:r>
      <w:r>
        <w:t xml:space="preserve">rather than a separate construct. Laid out as the full multitrait-multimethod matrix, the convergent</w:t>
      </w:r>
      <w:r>
        <w:t xml:space="preserve"> </w:t>
      </w:r>
      <w:r>
        <w:t xml:space="preserve">correlations (same skill across graders, mean +0.49) exceed both the heterotrait-monomethod correlations</w:t>
      </w:r>
      <w:r>
        <w:t xml:space="preserve"> </w:t>
      </w:r>
      <w:r>
        <w:t xml:space="preserve">(different skills within one grader, mean +0.08) and the heterotrait-heteromethod correlations (mean</w:t>
      </w:r>
      <w:r>
        <w:t xml:space="preserve"> </w:t>
      </w:r>
      <w:r>
        <w:t xml:space="preserve">+0.06); no grader shows halo (within-grader cross-skill 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t xml:space="preserve">of 0.13, 0.18, 0.13 for the three</w:t>
      </w:r>
      <w:r>
        <w:t xml:space="preserve"> </w:t>
      </w:r>
      <w:r>
        <w:t xml:space="preserve">backends), so all three Campbell-Fiske criteria hold. Second, the instrument is faithful to the population's dependence</w:t>
      </w:r>
      <w:r>
        <w:t xml:space="preserve"> </w:t>
      </w:r>
      <w:r>
        <w:t xml:space="preserve">structure: on learners whose three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(the full crossed design) the</w:t>
      </w:r>
      <w:r>
        <w:t xml:space="preserve"> </w:t>
      </w:r>
      <w:r>
        <w:t xml:space="preserve">inter-skill grade correlations are near zero (mean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0.13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</w:t>
      </w:r>
      <w:r>
        <w:t xml:space="preserve"> </w:t>
      </w:r>
      <w:r>
        <w:t xml:space="preserve">whereas on the 20 learners whose three competences are all set strong or all set weak (a single shared</w:t>
      </w:r>
      <w:r>
        <w:t xml:space="preserve"> </w:t>
      </w:r>
      <w:r>
        <w:t xml:space="preserve">ability level)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 (mean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0.41</m:t>
        </m:r>
      </m:oMath>
      <w:r>
        <w:t xml:space="preserve">;</w:t>
      </w:r>
      <w:r>
        <w:t xml:space="preserve"> </w:t>
      </w:r>
      <w:r>
        <w:t xml:space="preserve">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</m:t>
        </m:r>
      </m:oMath>
      <w:r>
        <w:t xml:space="preserve">). The instrument therefore does not</w:t>
      </w:r>
      <w:r>
        <w:t xml:space="preserve"> </w:t>
      </w:r>
      <w:r>
        <w:t xml:space="preserve">manufacture dissociation: it recovers independence when the competences are independent and correlation</w:t>
      </w:r>
      <w:r>
        <w:t xml:space="preserve"> </w:t>
      </w:r>
      <w:r>
        <w:t xml:space="preserve">when they are shared, which is what licenses reading the crossed-design separation as a property of the</w:t>
      </w:r>
      <w:r>
        <w:t xml:space="preserve"> </w:t>
      </w:r>
      <w:r>
        <w:t xml:space="preserve">skills rather than of the scoring (Table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3. Multitrait-multimethod validity.</w:t>
      </w:r>
      <w:r>
        <w:t xml:space="preserve"> </w:t>
      </w:r>
      <w:r>
        <w:t xml:space="preserve">Panel A: convergent agreement of the same skill across</w:t>
      </w:r>
      <w:r>
        <w:t xml:space="preserve"> </w:t>
      </w:r>
      <w:r>
        <w:t xml:space="preserve">the three grader backends (mean pairwise per-learner rank correlation on the 40 shared transcripts).</w:t>
      </w:r>
      <w:r>
        <w:t xml:space="preserve"> </w:t>
      </w:r>
      <w:r>
        <w:t xml:space="preserve">Panel B: inter-skill grade correlation by population, showing the instrument recovers the population's</w:t>
      </w:r>
      <w:r>
        <w:t xml:space="preserve"> </w:t>
      </w:r>
      <w:r>
        <w:t xml:space="preserve">dependence structure (discriminant on the full crossed design, convergent on the n=20 all-strong and</w:t>
      </w:r>
      <w:r>
        <w:t xml:space="preserve"> </w:t>
      </w:r>
      <w:r>
        <w:t xml:space="preserve">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, 3 backends)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B: inter-skill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by population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F-J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+0.41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own-competence effect is therefore not driven by any single domain; the pooled own-effects</w:t>
      </w:r>
      <w:r>
        <w:t xml:space="preserve"> </w:t>
      </w:r>
      <w:r>
        <w:t xml:space="preserve">and their confidence intervals above carry the estimate, and the per-subject pattern shows it holds</w:t>
      </w:r>
      <w:r>
        <w:t xml:space="preserve"> </w:t>
      </w:r>
      <w:r>
        <w:t xml:space="preserve">broadly across the curriculum. The designed-contrast personas make the separation concrete (Figure 4,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Effect of manipulating each skill's competence (columns) on each skill's grade (rows). Each</w:t>
      </w:r>
      <w:r>
        <w:rPr>
          <w:i/>
          <w:iCs/>
        </w:rPr>
        <w:t xml:space="preserve"> </w:t>
      </w:r>
      <w:r>
        <w:rPr>
          <w:i/>
          <w:iCs/>
        </w:rPr>
        <w:t xml:space="preserve">cell is the grade change (strong minus weak) on the 3-point scale (A=3, B=2, C=1); warmer cells are</w:t>
      </w:r>
      <w:r>
        <w:rPr>
          <w:i/>
          <w:iCs/>
        </w:rPr>
        <w:t xml:space="preserve"> </w:t>
      </w:r>
      <w:r>
        <w:rPr>
          <w:i/>
          <w:iCs/>
        </w:rPr>
        <w:t xml:space="preserve">larger positive effects. The diagonal (own-skill effect) dominates; off-diagonal (cross-skill)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4.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10 specifies.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feasibility. (i) Judging's clean diagonal (+2.00, zero cross-effects)</w:t>
      </w:r>
      <w:r>
        <w:t xml:space="preserve"> </w:t>
      </w:r>
      <w:r>
        <w:t xml:space="preserve">is a controlled check by design: its competence is set by a controlled selection over the seeded</w:t>
      </w:r>
      <w:r>
        <w:t xml:space="preserve"> </w:t>
      </w:r>
      <w:r>
        <w:t xml:space="preserve">issues, so the diagonal confirms that the grader correctly rewards recall and precision, and the</w:t>
      </w:r>
      <w:r>
        <w:t xml:space="preserve"> </w:t>
      </w:r>
      <w:r>
        <w:t xml:space="preserve">independent separation evidence is carried by the free-text, blind-graded skills, Framing and Steering,</w:t>
      </w:r>
      <w:r>
        <w:t xml:space="preserve"> </w:t>
      </w:r>
      <w:r>
        <w:t xml:space="preserve">whose positive own-effects (+0.62, +0.43) with near-zero cross-effects drive the result. (ii) The</w:t>
      </w:r>
      <w:r>
        <w:t xml:space="preserve"> </w:t>
      </w:r>
      <w:r>
        <w:t xml:space="preserve">dissociation replicates across grader backends spanning two providers (the grader-robustness check</w:t>
      </w:r>
      <w:r>
        <w:t xml:space="preserve"> </w:t>
      </w:r>
      <w:r>
        <w:t xml:space="preserve">below); agreement with human experts is the validity step the prepared study in Section 10 supplies.</w:t>
      </w:r>
      <w:r>
        <w:t xml:space="preserve"> </w:t>
      </w:r>
      <w:r>
        <w:t xml:space="preserve">(iii) With three constructs the separability evidence rests on the manipulation-based effect matrix and</w:t>
      </w:r>
      <w:r>
        <w:t xml:space="preserve"> </w:t>
      </w:r>
      <w:r>
        <w:t xml:space="preserve">the inter-skill correlations, the appropriate tests for the design. (iv) Steering's own-effect (+0.43</w:t>
      </w:r>
      <w:r>
        <w:t xml:space="preserve"> </w:t>
      </w:r>
      <w:r>
        <w:t xml:space="preserve">at N=80) is governed by the P2 ceiling by design: steering quality is bounded by the judging that</w:t>
      </w:r>
      <w:r>
        <w:t xml:space="preserve"> </w:t>
      </w:r>
      <w:r>
        <w:t xml:space="preserve">precedes it, so manipulating steering alone has bounded headroom. This is a property of the construct,</w:t>
      </w:r>
      <w:r>
        <w:t xml:space="preserve"> </w:t>
      </w:r>
      <w:r>
        <w:t xml:space="preserve">not of the grader: under a deliberately strict steering rubric (a C for vague or non-prioritized</w:t>
      </w:r>
      <w:r>
        <w:t xml:space="preserve"> </w:t>
      </w:r>
      <w:r>
        <w:t xml:space="preserve">commands) the steering own-effect is unchanged (+0.40 versus +0.50, statistically indistinguishable)</w:t>
      </w:r>
      <w:r>
        <w:t xml:space="preserve"> </w:t>
      </w:r>
      <w:r>
        <w:t xml:space="preserve">and the dissociation persists (ratio 27.5). Human steering data will trace this ceiling directly.</w:t>
      </w:r>
    </w:p>
    <w:bookmarkEnd w:id="33"/>
    <w:bookmarkStart w:id="34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10.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35"/>
    <w:bookmarkStart w:id="36" w:name="Xd9958a5808c799d638099c5f014583a644a871b"/>
    <w:p>
      <w:pPr>
        <w:pStyle w:val="Heading2"/>
        <w:keepNext/>
        <w:keepLines/>
        <w:widowControl w:val="1"/>
      </w:pPr>
      <w:r>
        <w:t xml:space="preserve">11.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proof-of-concept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10.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10).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10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6"/>
    <w:bookmarkStart w:id="37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on, for the assessment and instruction the moment</w:t>
      </w:r>
      <w:r>
        <w:t xml:space="preserve"> </w:t>
      </w:r>
      <w:r>
        <w:t xml:space="preserve">demands.</w:t>
      </w:r>
    </w:p>
    <w:bookmarkEnd w:id="37"/>
    <w:bookmarkStart w:id="44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37840"/>
            <wp:effectExtent b="0" l="0" r="0" t="0"/>
            <wp:docPr descr="Figure A1. A CoReasoning Lab challenge run." title="" id="39" name="Picture"/>
            <a:graphic>
              <a:graphicData uri="http://schemas.openxmlformats.org/drawingml/2006/picture">
                <pic:pic>
                  <pic:nvPicPr>
                    <pic:cNvPr descr="C:/Users/apart/AppData/Local/Temp/html2doc_svg_4uN5wz/svg_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73165"/>
            <wp:effectExtent b="0" l="0" r="0" t="0"/>
            <wp:docPr descr="Figure A2. CoReasoning Lab role interfaces." title="" id="42" name="Picture"/>
            <a:graphic>
              <a:graphicData uri="http://schemas.openxmlformats.org/drawingml/2006/picture">
                <pic:pic>
                  <pic:nvPicPr>
                    <pic:cNvPr descr="C:/Users/apart/AppData/Local/Temp/html2doc_svg_4uN5wz/svg_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44"/>
    <w:bookmarkStart w:id="45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Bearman, M., Tai, J., Dawson, P., Boud, D., &amp; Ajjawi, R. (2024). Developing Evaluative Judgement for a Time of Generative Artificial Intelligence.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, 49(6), 893–905. https://doi.org/10.1080/02602938.2024.2335321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, 56(2), 81–105.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Elshall, A. S., &amp; Badir, A. (2025). Balancing AI-Assisted Learning and Traditional Assessment: The FACT Assessment in Environmental Data Science Education.</w:t>
      </w:r>
      <w:r>
        <w:t xml:space="preserve"> </w:t>
      </w:r>
      <w:r>
        <w:rPr>
          <w:i/>
          <w:iCs/>
        </w:rPr>
        <w:t xml:space="preserve">Frontiers in Education</w:t>
      </w:r>
      <w:r>
        <w:t xml:space="preserve">, 10, 1596462. https://doi.org/10.3389/feduc.2025.1596462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Ganuthula, V. R. R., &amp; Balaraman, K. K. (2025). Artificial Intelligence Quotient Framework for Measuring Human Collaboration with Artificial Intelligence.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, 5, 268. https://doi.org/10.1007/s44163-025-00516-1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Walton, J., Bearman, M., Crawford, N., Tai, J., &amp; Boud, D. (2025). How University Students Work on Assessment Tasks with Generative Artificial Intelligence: Matters of Judgement.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 </w:t>
      </w:r>
      <w:r>
        <w:t xml:space="preserve">(advance online publication). https://doi.org/10.1080/02602938.2025.2570328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Wingerter, T. L., Straub, T., &amp; Schweitzer, S. (2025). Mitigating Automation Bias in Generative AI through Nudges: A Cognitive Reflection Test Study.</w:t>
      </w:r>
      <w:r>
        <w:t xml:space="preserve"> </w:t>
      </w:r>
      <w:r>
        <w:rPr>
          <w:i/>
          <w:iCs/>
        </w:rPr>
        <w:t xml:space="preserve">Procedia Computer Science</w:t>
      </w:r>
      <w:r>
        <w:t xml:space="preserve">, 270, 2106–2114. https://doi.org/10.1016/j.procs.2025.09.331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Yao, G., &amp; Fan, L. (2025). Cognitive Load Scale for AI-Assisted L2 Writing: Scale Development and Validation.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16, 1666974. https://doi.org/10.3389/fpsyg.2025.1666974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Yavuz, F., Çelik, Ö., &amp; Yavaş Çelik, G. (2025). Utilizing Large Language Models for EFL Essay Grading: An Examination of Reliability and Validity in Rubric-Based Assessments.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56(4), 1–17. https://doi.org/10.1111/bjet.13494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5"/>
    <w:bookmarkEnd w:id="46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2026-06-02T06:32:14Z</dcterms:created>
  <dcterms:modified xsi:type="dcterms:W3CDTF">2026-06-02T06:32:14Z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