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July 2026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/>
          <w:bCs/>
        </w:rPr>
        <w:t xml:space="preserve">“Beyond Prompting: Framing, Judging, and Steering as Assessable Competencies for Reasoning With Generative AI in Higher Education,”</w:t>
      </w:r>
      <w:r>
        <w:t xml:space="preserve"> </w:t>
      </w:r>
      <w:r>
        <w:t xml:space="preserve">for consideration as a</w:t>
      </w:r>
      <w:r>
        <w:t xml:space="preserve"> </w:t>
      </w:r>
      <w:r>
        <w:rPr>
          <w:b/>
          <w:bCs/>
        </w:rPr>
        <w:t xml:space="preserve">Research Article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International Journal of Educational Technology in Higher Education</w:t>
      </w:r>
      <w:r>
        <w:t xml:space="preserve">.</w:t>
      </w:r>
    </w:p>
    <w:p>
      <w:pPr>
        <w:pStyle w:val="BodyText"/>
      </w:pPr>
      <w:r>
        <w:t xml:space="preserve">As generative AI becomes ubiquitous in higher education, the competency that separates productive from counterproductive use is no longer solving a problem unaided but working well with a fallible machine. Current AI-literacy instruments collapse this ability into a single</w:t>
      </w:r>
      <w:r>
        <w:t xml:space="preserve"> </w:t>
      </w:r>
      <w:r>
        <w:t xml:space="preserve">“prompting”</w:t>
      </w:r>
      <w:r>
        <w:t xml:space="preserve"> </w:t>
      </w:r>
      <w:r>
        <w:t xml:space="preserve">score that cannot diagnose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student’s AI use succeeds or fails. Our paper addresses that gap.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CoRe-3</w:t>
      </w:r>
      <w:r>
        <w:t xml:space="preserve">, a theoretically grounded competency model that factors productive AI use into three independently assessable skills,</w:t>
      </w:r>
      <w:r>
        <w:t xml:space="preserve"> </w:t>
      </w:r>
      <w:r>
        <w:rPr>
          <w:b/>
          <w:bCs/>
        </w:rPr>
        <w:t xml:space="preserve">Framing, Judging, and Steering (FJS)</w:t>
      </w:r>
      <w:r>
        <w:t xml:space="preserve">, anchored in metacognition and self-regulated-learning theory. Its distinguishing contribution is the separation of the pre-generation skill (Framing) from the post-generation corrective skill (Steering) that prior frameworks fuse into</w:t>
      </w:r>
      <w:r>
        <w:t xml:space="preserve"> </w:t>
      </w:r>
      <w:r>
        <w:t xml:space="preserve">“prompting.”</w:t>
      </w:r>
      <w:r>
        <w:t xml:space="preserve"> </w:t>
      </w:r>
      <w:r>
        <w:t xml:space="preserve">We state five testable propositions, instantiate the model in an open web platform that scores each skill independently, and provide a feasibility demonstration in which the three skills dissociate under automatic scoring, a convergent-and-discriminant validity analysis replicated across grader backends from two vendors. We release the assessment instrument, the experiment data, and a fully prepared human-rater validation protocol.</w:t>
      </w:r>
    </w:p>
    <w:p>
      <w:pPr>
        <w:pStyle w:val="BodyText"/>
      </w:pPr>
      <w:r>
        <w:t xml:space="preserve">The manuscript fits the journal’s scope: it gives higher-education instructors a diagnostic, discipline-general way to assess and teach reasoning with generative AI, grounded in learning theory and demonstrated with a runnable instrument. To our knowledge, it is the first theoretically grounded decomposition of productive generative-AI use that separates the pre- and post-generation skills and provides feasibility evidence that they can be measured apart.</w:t>
      </w:r>
    </w:p>
    <w:p>
      <w:pPr>
        <w:pStyle w:val="BodyText"/>
      </w:pPr>
      <w:r>
        <w:t xml:space="preserve">We confirm that this manuscript is original, has not been published previously, and is not under consideration by any other journal; that all authors have approved the submission; that the study involves no human participants (the feasibility demonstration uses model-generated simulated learners), so ethics approval is not applicable; and that the authors declare no competing interests. In keeping with the journal’s double-anonymous policy, we provide an anonymized version of the manuscript and supplementary material; the instrument, data, and protocol are released in a public repository whose URL is withheld during review and available to the editors on request.</w:t>
      </w:r>
    </w:p>
    <w:p>
      <w:pPr>
        <w:pStyle w:val="BodyText"/>
      </w:pPr>
      <w:r>
        <w:t xml:space="preserve">Thank you for considering our submission. We look forward to the reviewers’ feedback.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Alexander Apartsin</w:t>
      </w:r>
      <w:r>
        <w:t xml:space="preserve"> </w:t>
      </w:r>
      <w:r>
        <w:t xml:space="preserve">(corresponding author), Holon Institute of Technology</w:t>
      </w:r>
      <w:r>
        <w:t xml:space="preserve"> </w:t>
      </w:r>
      <w:r>
        <w:rPr>
          <w:b/>
          <w:bCs/>
        </w:rPr>
        <w:t xml:space="preserve">Yehudit Aperstein</w:t>
      </w:r>
      <w:r>
        <w:t xml:space="preserve">, Afeka College of Engineering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2026-07-07T07:51:21Z</dcterms:created>
  <dcterms:modified xsi:type="dcterms:W3CDTF">2026-07-07T07:51:21Z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