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material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Supplementary Material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Supplementary Material for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"Beyond Prompting: Framing, Judging, and Steering as Assessable Competencies for Reasoning With Generative AI in Higher Education."</w:t>
      </w:r>
    </w:p>
    <w:bookmarkStart w:id="18" w:name="Xd731927fe112efe1edcedf5385efb1700e7c07f"/>
    <w:p>
      <w:pPr>
        <w:pStyle w:val="Heading2"/>
        <w:keepNext/>
        <w:keepLines/>
        <w:widowControl w:val="1"/>
      </w:pPr>
      <w:r>
        <w:t xml:space="preserve">1.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786207"/>
            <wp:effectExtent b="0" l="0" r="0" t="0"/>
            <wp:docPr descr="Figure A1. A CoReasoningLab challenge run." title="" id="10" name="Picture"/>
            <a:graphic>
              <a:graphicData uri="http://schemas.openxmlformats.org/drawingml/2006/picture">
                <pic:pic>
                  <pic:nvPicPr>
                    <pic:cNvPr descr="assets/system-challenge-ru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6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A1.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a learner's challenge run at the Framing phase. The engine has generated an ill-defined problem (here, an AI hiring-screening task), and the learner specifies refinements before any solution is produced. The two-phase structure is explicit in the interface, Phase 1 (Framing) and Phase 2 (the Judge-Steer cycle), and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Lab instructor course analytics." title="" id="13" name="Picture"/>
            <a:graphic>
              <a:graphicData uri="http://schemas.openxmlformats.org/drawingml/2006/picture">
                <pic:pic>
                  <pic:nvPicPr>
                    <pic:cNvPr descr="assets/system-instructor-analyt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A2.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the instructor course-analytics view. Grade distribution is broken out into separate Framing, Judging, and Steering panels, and the per-student results list the three skills as distinct columns, the interface-level expression of 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002832"/>
            <wp:effectExtent b="0" l="0" r="0" t="0"/>
            <wp:docPr descr="Figure A3. Auto-generation and assessment pipeline of the CoReasoningLab engine." title="" id="16" name="Picture"/>
            <a:graphic>
              <a:graphicData uri="http://schemas.openxmlformats.org/drawingml/2006/picture">
                <pic:pic>
                  <pic:nvPicPr>
                    <pic:cNvPr descr="E:/tmp/html2doc_svg_EDqEuo/svg_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A3.</w:t>
      </w:r>
      <w:r>
        <w:rPr>
          <w:b w:val="0"/>
          <w:i/>
        </w:rPr>
        <w:t xml:space="preserve"> </w:t>
      </w:r>
      <w:r>
        <w:rPr>
          <w:b w:val="0"/>
          <w:i/>
        </w:rPr>
        <w:t>The sixteen-prompt engine in two phases. In authoring, the instructor names a subject and the engine generates the ill-defined problem (prompt 01), three per-skill rubrics and a gold framing (02, 14), and a deliberately flawed AI solution carrying seeded issues (03). In assessment, each learner response is scored against a different referent: Framing against the gold framing and rubric (08), Judging against the seeded issues (09), and Steering against the corrected trajectory after the output is re-run (04, 10); a single grader prompt (11) then assigns each skill its own grade, and the three feed the per-student report and course analytics. Because the three evaluation prompts interrogate different referents, the grades are produced independently rather than as one global impression.</w:t>
      </w:r>
    </w:p>
    <w:bookmarkEnd w:id="18"/>
    <w:bookmarkStart w:id="19" w:name="X172263cace3c3e7541464a413a91e8a3f874842"/>
    <w:p>
      <w:pPr>
        <w:pStyle w:val="Heading2"/>
        <w:keepNext/>
        <w:keepLines/>
        <w:widowControl w:val="1"/>
      </w:pPr>
      <w:r>
        <w:t xml:space="preserve">2.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9.3).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9.3 specifies.</w:t>
      </w:r>
    </w:p>
    <w:bookmarkEnd w:id="19"/>
    <w:bookmarkStart w:id="20" w:name="Xaa4be1d615ab66697a9585f351baef3e019719d"/>
    <w:p>
      <w:pPr>
        <w:pStyle w:val="Heading2"/>
        <w:keepNext/>
        <w:keepLines/>
        <w:widowControl w:val="1"/>
      </w:pPr>
      <w:r>
        <w:t xml:space="preserve">3.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C1.</w:t>
      </w:r>
      <w:r>
        <w:rPr>
          <w:b w:val="0"/>
          <w:i/>
        </w:rPr>
        <w:t xml:space="preserve"> </w:t>
      </w:r>
      <w:r>
        <w:rPr>
          <w:b w:val="0"/>
          <w:i/>
        </w:rPr>
        <w:t>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20"/>
    <w:bookmarkEnd w:id="2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2026-07-07T07:51:20Z</dcterms:created>
  <dcterms:modified xsi:type="dcterms:W3CDTF">2026-07-07T07:51:20Z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