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qb1IN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qb1IN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Appendix B, support the result: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 (a precision check, not accuracy against humans); the dissociation replicates across three grader backends spanning two providers (gpt-4o, gpt-4o-mini, and Meta's llama-3.3-70b; diagonal-to-off-diagonal ratio 39), so it does not hinge on one model snapshot; and a ground-truth ablation shows Framing and Steering are scored by rubric-guided model judgment while Judging, as instrumented, tracks the seeded answer key, which locates the Judging score to settings with known ground truth (Section 10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(Appendix B); agreement with</w:t>
      </w:r>
      <w:r>
        <w:t xml:space="preserve"> </w:t>
      </w:r>
      <w:r>
        <w:t xml:space="preserve">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qb1IN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qb1IN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appendix-b-robustness-and-ablations"/>
    <w:p>
      <w:pPr>
        <w:pStyle w:val="Heading2"/>
        <w:keepNext/>
        <w:keepLines/>
        <w:widowControl w:val="1"/>
      </w:pPr>
      <w:r>
        <w:t xml:space="preserve">Appendix B.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bookmarkEnd w:id="45"/>
    <w:bookmarkStart w:id="46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6"/>
    <w:bookmarkEnd w:id="47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2026-06-02T07:22:29Z</dcterms:created>
  <dcterms:modified xsi:type="dcterms:W3CDTF">2026-06-02T07:22:29Z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