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learner’s AI use succeeds or fails, whether they</w:t>
      </w:r>
      <w:r>
        <w:t xml:space="preserve"> </w:t>
      </w:r>
      <w:r>
        <w:t xml:space="preserve">specified the task poorly, missed the flaws in the output, or failed to correct them.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We release the instrument, the controlled-generation harness, the data, and a prepared human-validation</w:t>
      </w:r>
      <w:r>
        <w:t xml:space="preserve"> </w:t>
      </w:r>
      <w:r>
        <w:t xml:space="preserve">protocol.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setting. In an intervention study,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2026-06-01T09:00:09Z</dcterms:created>
  <dcterms:modified xsi:type="dcterms:W3CDTF">2026-06-01T09:00:09Z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