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df9502ef5c17bbba6731875408e8426bd513f0c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Framing, Judging, Steering: An Assessable Competency Model for Teaching Students to Reason With Generative AI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</w:rPr>
        <w:t xml:space="preserve">¹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bCs/>
          <w:i w:val="0"/>
          <w:sz w:val="24"/>
        </w:rPr>
        <w:t xml:space="preserve">Yehudit Aperstein</w:t>
      </w:r>
      <w:r>
        <w:rPr>
          <w:rFonts w:ascii="Times New Roman" w:hAnsi="Times New Roman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¹ Holon Institute of Technology · ² Afeka College of Engineering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As models absorb more of the execution, this</w:t>
      </w:r>
      <w:r>
        <w:t xml:space="preserve"> </w:t>
      </w:r>
      <w:r>
        <w:t xml:space="preserve">collaborative work is the part of competent performance that stays with the person, which is precisely</w:t>
      </w:r>
      <w:r>
        <w:t xml:space="preserve"> </w:t>
      </w:r>
      <w:r>
        <w:t xml:space="preserve">what assessment must now target.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"prompting" 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learner's AI use succeeds or fails (whether they</w:t>
      </w:r>
      <w:r>
        <w:t xml:space="preserve"> </w:t>
      </w:r>
      <w:r>
        <w:t xml:space="preserve">specified the task poorly, missed the flaws in the output, or failed to correct them).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an open learning platform</w:t>
      </w:r>
      <w:r>
        <w:t xml:space="preserve"> </w:t>
      </w:r>
      <w:r>
        <w:t xml:space="preserve">that presents deliberately flawed AI output for students to judge and steer, and scores the three</w:t>
      </w:r>
      <w:r>
        <w:t xml:space="preserve"> </w:t>
      </w:r>
      <w:r>
        <w:t xml:space="preserve">skills independently. In a feasibility demonstration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The result is carried by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 without</w:t>
      </w:r>
      <w:r>
        <w:t xml:space="preserve"> </w:t>
      </w:r>
      <w:r>
        <w:t xml:space="preserve">knowing the intended competence: each moves with its own manipulated competence while staying flat in</w:t>
      </w:r>
      <w:r>
        <w:t xml:space="preserve"> </w:t>
      </w:r>
      <w:r>
        <w:t xml:space="preserve">the others, and the cleanest pair (Framing and Judging) is uncorrelated despite being scored by</w:t>
      </w:r>
      <w:r>
        <w:t xml:space="preserve"> </w:t>
      </w:r>
      <w:r>
        <w:t xml:space="preserve">entirely separate mechanisms. The same instrument returns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grades when a single competence</w:t>
      </w:r>
      <w:r>
        <w:t xml:space="preserve"> </w:t>
      </w:r>
      <w:r>
        <w:t xml:space="preserve">is shared across the three skills, so the separation reflects the learners rather than the scoring</w:t>
      </w:r>
      <w:r>
        <w:t xml:space="preserve"> </w:t>
      </w:r>
      <w:r>
        <w:t xml:space="preserve">(convergent and discriminant validity). The separation holds under three grader backends spanning two</w:t>
      </w:r>
      <w:r>
        <w:t xml:space="preserve"> </w:t>
      </w:r>
      <w:r>
        <w:t xml:space="preserve">providers, which also agree on each skill at the per-learner level, and the grader is highly</w:t>
      </w:r>
      <w:r>
        <w:t xml:space="preserve"> </w:t>
      </w:r>
      <w:r>
        <w:t xml:space="preserve">self-consistent on repeat. The constructs are therefore separable and automatically scoreable; agreement with human raters and learning outcomes are the defined next</w:t>
      </w:r>
      <w:r>
        <w:t xml:space="preserve"> </w:t>
      </w:r>
      <w:r>
        <w:t xml:space="preserve">steps of the program, for which we release a prepared validation protocol alongside the instrument and</w:t>
      </w:r>
      <w:r>
        <w:t xml:space="preserve"> </w:t>
      </w:r>
      <w:r>
        <w:t xml:space="preserve">data.</w:t>
      </w:r>
    </w:p>
    <w:bookmarkEnd w:id="9"/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does not disappear; it concentrates in the operations a</w:t>
      </w:r>
      <w:r>
        <w:t xml:space="preserve"> </w:t>
      </w:r>
      <w:r>
        <w:t xml:space="preserve">system cannot perform on its own behalf: choosing which problem is worth solving and specifying it,</w:t>
      </w:r>
      <w:r>
        <w:t xml:space="preserve"> </w:t>
      </w:r>
      <w:r>
        <w:t xml:space="preserve">judging whether a fluent output is actually right, and redirecting the model when it is not. The field</w:t>
      </w:r>
      <w:r>
        <w:t xml:space="preserve"> </w:t>
      </w:r>
      <w:r>
        <w:t xml:space="preserve">evidence that AI's value is conditional on the user's skill (Dell'Acqua et al., 2023; Vaccaro et al.,</w:t>
      </w:r>
      <w:r>
        <w:t xml:space="preserve"> </w:t>
      </w:r>
      <w:r>
        <w:t xml:space="preserve">2024) implies that this conditioning tightens rather than loosens as systems improve, so the durable,</w:t>
      </w:r>
      <w:r>
        <w:t xml:space="preserve"> </w:t>
      </w:r>
      <w:r>
        <w:t xml:space="preserve">assessable human skill shifts from executing a task to framing, judging, and steering it (Acar, 2023;</w:t>
      </w:r>
      <w:r>
        <w:t xml:space="preserve"> </w:t>
      </w:r>
      <w:r>
        <w:t xml:space="preserve">Denny et al., 2024) (Figure 1). An assessment that still measures unaided execution therefore measures</w:t>
      </w:r>
      <w:r>
        <w:t xml:space="preserve"> </w:t>
      </w:r>
      <w:r>
        <w:t xml:space="preserve">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71799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C:/Users/apart/AppData/Local/Temp/html2doc_svg_ScLfJu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1 (schematic). As models absorb more of the execution, the part of a task a competent person</w:t>
      </w:r>
      <w:r>
        <w:rPr>
          <w:i/>
          <w:iCs/>
        </w:rPr>
        <w:t xml:space="preserve"> </w:t>
      </w:r>
      <w:r>
        <w:rPr>
          <w:i/>
          <w:iCs/>
        </w:rPr>
        <w:t xml:space="preserve">must still own shifts from doing the work toward framing, judging, and steering it; the axes are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conceptual, not quantitative. CoReasoning is a decomposition and assessment of that shifting</w:t>
      </w:r>
      <w:r>
        <w:rPr>
          <w:i/>
          <w:iCs/>
        </w:rPr>
        <w:t xml:space="preserve"> </w:t>
      </w:r>
      <w:r>
        <w:rPr>
          <w:i/>
          <w:iCs/>
        </w:rPr>
        <w:t xml:space="preserve">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proof-of-concept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skills are separately measurable, not one relabeled "prompting" skill.</w:t>
      </w:r>
    </w:p>
    <w:p>
      <w:pPr>
        <w:pStyle w:val="Compact"/>
        <w:numPr>
          <w:ilvl w:val="0"/>
          <w:numId w:val="1002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assessment instrument and the experiment data) together</w:t>
      </w:r>
      <w:r>
        <w:t xml:space="preserve"> </w:t>
      </w:r>
      <w:r>
        <w:t xml:space="preserve">with a fully prepared human-rater validation protocol for the community to run.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;</w:t>
      </w:r>
      <w:r>
        <w:t xml:space="preserve"> </w:t>
      </w:r>
      <w:r>
        <w:t xml:space="preserve">the efficacy study that tests learning outcomes is the next stage of the program (Section 10).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14"/>
    <w:bookmarkStart w:id="21" w:name="X633cad0d74cfeb5d5acc5b289e740398e9962c8"/>
    <w:p>
      <w:pPr>
        <w:pStyle w:val="Heading2"/>
        <w:keepNext/>
        <w:keepLines/>
        <w:widowControl w:val="1"/>
      </w:pPr>
      <w:r>
        <w:t xml:space="preserve">3. The CoReasoning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06697"/>
            <wp:effectExtent b="0" l="0" r="0" t="0"/>
            <wp:docPr descr="Figure 2. The CoReasoning architecture." title="" id="16" name="Picture"/>
            <a:graphic>
              <a:graphicData uri="http://schemas.openxmlformats.org/drawingml/2006/picture">
                <pic:pic>
                  <pic:nvPicPr>
                    <pic:cNvPr descr="C:/Users/apart/AppData/Local/Temp/html2doc_svg_ScLfJu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6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2.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monitor's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controller's write.</w:t>
      </w:r>
    </w:p>
    <w:bookmarkEnd w:id="18"/>
    <w:bookmarkStart w:id="19" w:name="X1eb66af04d4702fef1ddf2edf668648ed034024"/>
    <w:p>
      <w:pPr>
        <w:pStyle w:val="Heading3"/>
        <w:keepNext/>
        <w:keepLines/>
        <w:widowControl w:val="1"/>
      </w:pPr>
      <w:r>
        <w:t xml:space="preserve">3.2 The temporal-separation claim (what makes the decomposition non-obvious)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CoReasoning's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CoReasoning's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 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 "prompting" 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 "prompting" 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learner's model-assigned Framing and Steering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 "Cyborg" mode of continuous push-back-and-validate (Randazzo et al., 2025) and the sharp</w:t>
      </w:r>
      <w:r>
        <w:t xml:space="preserve"> </w:t>
      </w:r>
      <w:r>
        <w:t xml:space="preserve">skill-dependence of AI's value at the competence frontier (Dell'Acqua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20"/>
              </w:rPr>
              <w:t xml:space="preserve">fused into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"continuous dialogue"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 "prompt problems"</w:t>
      </w:r>
      <w:r>
        <w:t xml:space="preserve"> </w:t>
      </w:r>
      <w:r>
        <w:t xml:space="preserve">that require students to specify and evaluate rather than only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24"/>
    <w:bookmarkStart w:id="25" w:name="Xeee0f31b39981a3e100f5aaf50a49be1e1b4285"/>
    <w:p>
      <w:pPr>
        <w:pStyle w:val="Heading2"/>
        <w:keepNext/>
        <w:keepLines/>
        <w:widowControl w:val="1"/>
      </w:pPr>
      <w:r>
        <w:t xml:space="preserve">7. The CoReasoning 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its interface is bilingual (English and Hebrew), and it supports both</w:t>
      </w:r>
      <w:r>
        <w:t xml:space="preserve"> </w:t>
      </w:r>
      <w:r>
        <w:t xml:space="preserve">practice and assessment modes and both multiple-choice and open-ended response formats per phase. All</w:t>
      </w:r>
      <w:r>
        <w:t xml:space="preserve"> </w:t>
      </w:r>
      <w:r>
        <w:t xml:space="preserve">challenges evaluated in this paper are English-language (Section 11); the bilingual interface is not a</w:t>
      </w:r>
      <w:r>
        <w:t xml:space="preserve"> </w:t>
      </w:r>
      <w:r>
        <w:t xml:space="preserve">claim of validated cross-language scoring. The reusable</w:t>
      </w:r>
      <w:r>
        <w:t xml:space="preserve"> </w:t>
      </w:r>
      <w:r>
        <w:t xml:space="preserve">artifact we release and evaluate is the platform's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redesign: the</w:t>
      </w:r>
      <w:r>
        <w:t xml:space="preserve"> </w:t>
      </w:r>
      <w:r>
        <w:t xml:space="preserve">feasibility demonstration exercises it unchanged across ten subjects (Section 8) and two grader models,</w:t>
      </w:r>
      <w:r>
        <w:t xml:space="preserve"> </w:t>
      </w:r>
      <w:r>
        <w:t xml:space="preserve">and the released artifact lets others add their own. The monitor-control scaffold is likewise open to</w:t>
      </w:r>
      <w:r>
        <w:t xml:space="preserve"> </w:t>
      </w:r>
      <w:r>
        <w:t xml:space="preserve">additional skills where a setting calls for them; the three are a deliberately small decomposition that</w:t>
      </w:r>
      <w:r>
        <w:t xml:space="preserve"> </w:t>
      </w:r>
      <w:r>
        <w:t xml:space="preserve">separates pre-generation, evaluative, and post-generation control. The released instrument is therefore</w:t>
      </w:r>
      <w:r>
        <w:t xml:space="preserve"> </w:t>
      </w:r>
      <w:r>
        <w:t xml:space="preserve">usable as a starting point for others to extend, not only to reproduce.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framework's two phases (Figure A1):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  <w:jc w:val="both"/>
        <w:keepNext w:val="0"/>
        <w:keepLines w:val="0"/>
        <w:widowControl w:val="1"/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framework's central claim made operational: a learner sees, and is scored on, three</w:t>
      </w:r>
      <w:r>
        <w:t xml:space="preserve"> </w:t>
      </w:r>
      <w:r>
        <w:t xml:space="preserve">different things they did, not one undifferentiated "AI use." The remainder of this section describes</w:t>
      </w:r>
      <w:r>
        <w:t xml:space="preserve"> </w:t>
      </w:r>
      <w:r>
        <w:t xml:space="preserve">the instrument that produces those scores.</w:t>
      </w:r>
    </w:p>
    <w:bookmarkEnd w:id="25"/>
    <w:bookmarkStart w:id="26" w:name="X3d8be0d8bf4ad30b87d3536652355afd0bfa982"/>
    <w:p>
      <w:pPr>
        <w:pStyle w:val="Heading2"/>
        <w:keepNext/>
        <w:keepLines/>
        <w:widowControl w:val="1"/>
      </w:pPr>
      <w:r>
        <w:t xml:space="preserve">7.1 Operationalization: a proof-of-concept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in this paper is the scoring engine of the CoReasoning Lab prototype, a library</w:t>
      </w:r>
      <w:r>
        <w:t xml:space="preserve"> </w:t>
      </w:r>
      <w:r>
        <w:t xml:space="preserve">of sixteen prompts spanning challenge construction, AI generation, and evaluation. These prompts are</w:t>
      </w:r>
      <w:r>
        <w:t xml:space="preserve"> </w:t>
      </w:r>
      <w:r>
        <w:t xml:space="preserve">run verbatim: the surrounding experiment harness (simulated-learner generation, the crossed factorial,</w:t>
      </w:r>
      <w:r>
        <w:t xml:space="preserve"> </w:t>
      </w:r>
      <w:r>
        <w:t xml:space="preserve">and the analysis) is research orchestration around that fixed engine, not a reimplementation of it, so</w:t>
      </w:r>
      <w:r>
        <w:t xml:space="preserve"> </w:t>
      </w:r>
      <w:r>
        <w:t xml:space="preserve">the measurements characterize the instrument itself.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scope note: the grader is a language model, so the results below characterize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</w:t>
      </w:r>
      <w:r>
        <w:t xml:space="preserve"> </w:t>
      </w:r>
      <w:r>
        <w:t xml:space="preserve">of the instrument (whether it separates controlled competence levels and dissociates the skills);</w:t>
      </w:r>
      <w:r>
        <w:t xml:space="preserve"> </w:t>
      </w:r>
      <w:r>
        <w:t xml:space="preserve">agreement with human experts is the separate validity question the prepared study in Section 10</w:t>
      </w:r>
      <w:r>
        <w:t xml:space="preserve"> </w:t>
      </w:r>
      <w:r>
        <w:t xml:space="preserve">addresses.</w:t>
      </w:r>
    </w:p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10).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Framing</w:t>
      </w:r>
      <w:r>
        <w:t xml:space="preserve"> </w:t>
      </w:r>
      <w:r>
        <w:t xml:space="preserve">and Steering responses are generated by the competence-conditioned learner model; Judging is operationalized by a competence-conditioned</w:t>
      </w:r>
      <w:r>
        <w:t xml:space="preserve"> </w:t>
      </w:r>
      <w:r>
        <w:t xml:space="preserve">selection over the challenge's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Judging's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skills' competence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11).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2. 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+0.43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skills (traits) separate. Construct validity also requires the</w:t>
      </w:r>
      <w:r>
        <w:t xml:space="preserve"> </w:t>
      </w:r>
      <w:r>
        <w:t xml:space="preserve">complementary</w:t>
      </w:r>
      <w:r>
        <w:t xml:space="preserve"> </w:t>
      </w:r>
      <w:r>
        <w:rPr>
          <w:i/>
          <w:iCs/>
        </w:rPr>
        <w:t xml:space="preserve">convergent</w:t>
      </w:r>
      <w:r>
        <w:t xml:space="preserve"> </w:t>
      </w:r>
      <w:r>
        <w:t xml:space="preserve">property, that the same skill measured by different methods agrees, and that</w:t>
      </w:r>
      <w:r>
        <w:t xml:space="preserve"> </w:t>
      </w:r>
      <w:r>
        <w:t xml:space="preserve">the instrument reports correlation when the underlying competence really is shared (Campbell &amp; Fiske,</w:t>
      </w:r>
      <w:r>
        <w:t xml:space="preserve"> </w:t>
      </w:r>
      <w:r>
        <w:t xml:space="preserve">1959). Two analyses supply it. First, treating the three grader backends as independent methods, the</w:t>
      </w:r>
      <w:r>
        <w:t xml:space="preserve"> </w:t>
      </w:r>
      <w:r>
        <w:t xml:space="preserve">same skill graded by gpt-4o, gpt-4o-mini, and the independent-vendor llama-3.3-70b agrees at the</w:t>
      </w:r>
      <w:r>
        <w:t xml:space="preserve"> </w:t>
      </w:r>
      <w:r>
        <w:t xml:space="preserve">per-learner level for the two skills with the widest grade range (mean pairwise rank correlation +0.57</w:t>
      </w:r>
      <w:r>
        <w:t xml:space="preserve"> </w:t>
      </w:r>
      <w:r>
        <w:t xml:space="preserve">for Framing and +0.67 for Judging across the 40 shared transcripts),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</w:t>
      </w:r>
      <w:r>
        <w:t xml:space="preserve"> </w:t>
      </w:r>
      <w:r>
        <w:t xml:space="preserve">zero, the convergent-high / discriminant-low pattern a valid measure should show; Steering's narrower</w:t>
      </w:r>
      <w:r>
        <w:t xml:space="preserve"> </w:t>
      </w:r>
      <w:r>
        <w:t xml:space="preserve">range under the P2 ceiling yields a lower cross-method correlation (+0.21), a restriction of variance</w:t>
      </w:r>
      <w:r>
        <w:t xml:space="preserve"> </w:t>
      </w:r>
      <w:r>
        <w:t xml:space="preserve">rather than a separate construct. Second, the instrument is faithful to the population's dependence</w:t>
      </w:r>
      <w:r>
        <w:t xml:space="preserve"> </w:t>
      </w:r>
      <w:r>
        <w:t xml:space="preserve">structure: on learners whose three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(the full crossed design) the</w:t>
      </w:r>
      <w:r>
        <w:t xml:space="preserve"> </w:t>
      </w:r>
      <w:r>
        <w:t xml:space="preserve">inter-skill grade correlations are near zero (mean</w:t>
      </w:r>
      <w:r>
        <w:t xml:space="preserve"> </w:t>
      </w:r>
      <m:oMath>
        <m:r>
          <m:rPr>
            <m:sty m:val="p"/>
          </m:rPr>
          <m:t>|</m:t>
        </m:r>
        <m:r>
          <m:t>ρ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0.13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</w:t>
      </w:r>
      <w:r>
        <w:t xml:space="preserve"> </w:t>
      </w:r>
      <w:r>
        <w:t xml:space="preserve">whereas on learners whose competences share a single latent level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 (mean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0.41</m:t>
        </m:r>
      </m:oMath>
      <w:r>
        <w:t xml:space="preserve">;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0.52</m:t>
        </m:r>
      </m:oMath>
      <w:r>
        <w:t xml:space="preserve">). The instrument therefore does not</w:t>
      </w:r>
      <w:r>
        <w:t xml:space="preserve"> </w:t>
      </w:r>
      <w:r>
        <w:t xml:space="preserve">manufacture dissociation: it recovers independence when the competences are independent and correlation</w:t>
      </w:r>
      <w:r>
        <w:t xml:space="preserve"> </w:t>
      </w:r>
      <w:r>
        <w:t xml:space="preserve">when they are shared, which is what licenses reading the crossed-design separation as a property of the</w:t>
      </w:r>
      <w:r>
        <w:t xml:space="preserve"> </w:t>
      </w:r>
      <w:r>
        <w:t xml:space="preserve">skills rather than of the scoring (Table 3).</w:t>
      </w:r>
    </w:p>
    <w:p>
      <w:pPr>
        <w:pStyle w:val="TableCaption"/>
        <w:spacing w:before="160" w:after="60" w:line="240" w:lineRule="auto"/>
        <w:jc w:val="center"/>
        <w:keepNext/>
        <w:keepLines/>
        <w:widowControl w:val="1"/>
      </w:pPr>
      <w:r>
        <w:rPr>
          <w:b/>
          <w:bCs/>
        </w:rPr>
        <w:t xml:space="preserve">Table 3. Multitrait-multimethod validity.</w:t>
      </w:r>
      <w:r>
        <w:t xml:space="preserve"> </w:t>
      </w:r>
      <w:r>
        <w:t xml:space="preserve">Panel A: convergent agreement of the same skill across</w:t>
      </w:r>
      <w:r>
        <w:t xml:space="preserve"> </w:t>
      </w:r>
      <w:r>
        <w:t xml:space="preserve">the three grader backends (mean pairwise per-learner rank correlation on the 40 shared transcripts).</w:t>
      </w:r>
      <w:r>
        <w:t xml:space="preserve"> </w:t>
      </w:r>
      <w:r>
        <w:t xml:space="preserve">Panel B: inter-skill grade correlation by population, showing the instrument recovers the population's</w:t>
      </w:r>
      <w:r>
        <w:t xml:space="preserve"> </w:t>
      </w:r>
      <w:r>
        <w:t xml:space="preserve">dependence structure (discriminant when competences are independent, convergent when they are shared).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Panel B: inter-skill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20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20"/>
              </w:rPr>
              <w:t xml:space="preserve">mean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= +0.41</w:t>
            </w:r>
          </w:p>
        </w:tc>
      </w:tr>
    </w:tbl>
    <w:p>
      <w:pPr>
        <w:pStyle w:val="BodyText"/>
        <w:spacing w:before="160"/>
        <w:jc w:val="both"/>
        <w:keepNext w:val="0"/>
        <w:keepLines w:val="0"/>
        <w:widowControl w:val="1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own-competence effect is therefore not driven by any single domain; the pooled own-effects</w:t>
      </w:r>
      <w:r>
        <w:t xml:space="preserve"> </w:t>
      </w:r>
      <w:r>
        <w:t xml:space="preserve">and their confidence intervals above carry the estimate, and the per-subject pattern shows it holds</w:t>
      </w:r>
      <w:r>
        <w:t xml:space="preserve"> </w:t>
      </w:r>
      <w:r>
        <w:t xml:space="preserve">broadly across the curriculum. The designed-contrast personas make the separation concrete (Figure 4, which plots five</w:t>
      </w:r>
      <w:r>
        <w:t xml:space="preserve"> </w:t>
      </w:r>
      <w:r>
        <w:t xml:space="preserve">profiles). Three are especially telling: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</w:t>
      </w:r>
      <w:r>
        <w:t xml:space="preserve"> </w:t>
      </w:r>
      <w:r>
        <w:t xml:space="preserve">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 B, Judging C;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</w:t>
      </w:r>
      <w:r>
        <w:t xml:space="preserve"> </w:t>
      </w:r>
      <w:r>
        <w:t xml:space="preserve">ability" cannot produce these crossed profiles. Converging evidence comes from outside our synthetic</w:t>
      </w:r>
      <w:r>
        <w:t xml:space="preserve"> </w:t>
      </w:r>
      <w:r>
        <w:t xml:space="preserve">setting. In an 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3. Effect of manipulating each skill's competence (columns) on each skill's grade (rows). Each</w:t>
      </w:r>
      <w:r>
        <w:rPr>
          <w:i/>
          <w:iCs/>
        </w:rPr>
        <w:t xml:space="preserve"> </w:t>
      </w:r>
      <w:r>
        <w:rPr>
          <w:i/>
          <w:iCs/>
        </w:rPr>
        <w:t xml:space="preserve">cell is the grade change (strong minus weak) on the 3-point scale (A=3, B=2, C=1); warmer cells are</w:t>
      </w:r>
      <w:r>
        <w:rPr>
          <w:i/>
          <w:iCs/>
        </w:rPr>
        <w:t xml:space="preserve"> </w:t>
      </w:r>
      <w:r>
        <w:rPr>
          <w:i/>
          <w:iCs/>
        </w:rPr>
        <w:t xml:space="preserve">larger positive effects. The diagonal (own-skill effect) dominates; off-diagonal (cross-skill) effects</w:t>
      </w:r>
      <w:r>
        <w:rPr>
          <w:i/>
          <w:iCs/>
        </w:rPr>
        <w:t xml:space="preserve"> </w:t>
      </w:r>
      <w:r>
        <w:rPr>
          <w:i/>
          <w:iCs/>
        </w:rPr>
        <w:t xml:space="preserve">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i/>
          <w:iCs/>
        </w:rPr>
        <w:t xml:space="preserve">Figure 4.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each, an independent sample each time at the</w:t>
      </w:r>
      <w:r>
        <w:t xml:space="preserve"> </w:t>
      </w:r>
      <w:r>
        <w:t xml:space="preserve">production temperatures.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Grader-backend robustness (across vendors).</w:t>
      </w:r>
      <w:r>
        <w:t xml:space="preserve"> </w:t>
      </w:r>
      <w:r>
        <w:t xml:space="preserve">The dissociation holds across three grader backends</w:t>
      </w:r>
      <w:r>
        <w:t xml:space="preserve"> </w:t>
      </w:r>
      <w:r>
        <w:t xml:space="preserve">spanning two providers. The primary grades come from gpt-4o; re-grading the identical 40 transcripts</w:t>
      </w:r>
      <w:r>
        <w:t xml:space="preserve"> </w:t>
      </w:r>
      <w:r>
        <w:t xml:space="preserve">(challenges and learner responses held fixed) with gpt-4o-mini reproduces it (diagonal +0.47 versus</w:t>
      </w:r>
      <w:r>
        <w:t xml:space="preserve"> </w:t>
      </w:r>
      <w:r>
        <w:t xml:space="preserve">off-diagonal +0.07), and re-grading the same transcripts with an independent-vendor model,</w:t>
      </w:r>
      <w:r>
        <w:t xml:space="preserve"> </w:t>
      </w:r>
      <w:r>
        <w:t xml:space="preserve">Meta's llama-3.3-70b (the prototype's own engine), reproduces it again with a stronger margin:</w:t>
      </w:r>
      <w:r>
        <w:t xml:space="preserve"> </w:t>
      </w:r>
      <w:r>
        <w:t xml:space="preserve">own-skill effects of +0.80 (Framing), +0.75 (Judging), and +0.40 (Steering) against a mean cross-skill</w:t>
      </w:r>
      <w:r>
        <w:t xml:space="preserve"> </w:t>
      </w:r>
      <w:r>
        <w:t xml:space="preserve">effect of +0.02, a diagonal-to-off-diagonal ratio of 39. Two facts stand out across backends. First,</w:t>
      </w:r>
      <w:r>
        <w:t xml:space="preserve"> </w:t>
      </w:r>
      <w:r>
        <w:t xml:space="preserve">Judging's own-effect is +2.00 only under gpt-4o's strict adherence to the seeded-issue selection; under</w:t>
      </w:r>
      <w:r>
        <w:t xml:space="preserve"> </w:t>
      </w:r>
      <w:r>
        <w:t xml:space="preserve">both gpt-4o-mini and the independent-vendor llama it settles to +0.65 and +0.75, level with Framing</w:t>
      </w:r>
      <w:r>
        <w:t xml:space="preserve"> </w:t>
      </w:r>
      <w:r>
        <w:t xml:space="preserve">(+0.65 and +0.80), so the separation is balanced across all three skills, not propped up by the built-in</w:t>
      </w:r>
      <w:r>
        <w:t xml:space="preserve"> </w:t>
      </w:r>
      <w:r>
        <w:t xml:space="preserve">Judging diagonal. Second, every backend reproduces the designed contrast profiles (a strong-framer /</w:t>
      </w:r>
      <w:r>
        <w:t xml:space="preserve"> </w:t>
      </w:r>
      <w:r>
        <w:t xml:space="preserve">weak-judge learner scores high Framing and low Judging, and the inverse for a weak-framer / strong-judge</w:t>
      </w:r>
      <w:r>
        <w:t xml:space="preserve"> </w:t>
      </w:r>
      <w:r>
        <w:t xml:space="preserve">learner), which a single general-ability account cannot produce. Because the result holds across three</w:t>
      </w:r>
      <w:r>
        <w:t xml:space="preserve"> </w:t>
      </w:r>
      <w:r>
        <w:t xml:space="preserve">independently-versioned models from two vendors (gpt-4o, gpt-4o-mini, and Meta's llama-3.3-70b), it does</w:t>
      </w:r>
      <w:r>
        <w:t xml:space="preserve"> </w:t>
      </w:r>
      <w:r>
        <w:t xml:space="preserve">not hinge on a single model snapshot; the released harness pins the model identifiers so the run</w:t>
      </w:r>
      <w:r>
        <w:t xml:space="preserve"> </w:t>
      </w:r>
      <w:r>
        <w:t xml:space="preserve">reproduces, and the cross-backend agreement is the evidence that it generalizes beyond any one of them.</w:t>
      </w:r>
      <w:r>
        <w:t xml:space="preserve"> </w:t>
      </w:r>
      <w:r>
        <w:t xml:space="preserve">Cross-vendor replication is therefore established, not deferred.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instrument's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model's own judgment, we re-grade a 40-learner subset</w:t>
      </w:r>
      <w:r>
        <w:t xml:space="preserve"> </w:t>
      </w:r>
      <w:r>
        <w:t xml:space="preserve">(five subjects) with that scaffolding removed, comparing against that subset's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model's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The skills still</w:t>
      </w:r>
      <w:r>
        <w:t xml:space="preserve"> </w:t>
      </w:r>
      <w:r>
        <w:t xml:space="preserve">dissociate (ratio 29), and the result pinpoints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tracks agreement</w:t>
      </w:r>
      <w:r>
        <w:t xml:space="preserve"> </w:t>
      </w:r>
      <w:r>
        <w:t xml:space="preserve">with a known answer key. This both explains Judging's by-construction +2.00 and locates the Judging</w:t>
      </w:r>
      <w:r>
        <w:t xml:space="preserve"> </w:t>
      </w:r>
      <w:r>
        <w:t xml:space="preserve">score precisely: it applies where ground truth is known, and open-ended judging without a key is the</w:t>
      </w:r>
      <w:r>
        <w:t xml:space="preserve"> </w:t>
      </w:r>
      <w:r>
        <w:t xml:space="preserve">distinct instrumentation Section 10 specifies.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feasibility. (i) Judging's clean diagonal (+2.00, zero cross-effects)</w:t>
      </w:r>
      <w:r>
        <w:t xml:space="preserve"> </w:t>
      </w:r>
      <w:r>
        <w:t xml:space="preserve">is a controlled check by design: its competence is set by a controlled selection over the seeded</w:t>
      </w:r>
      <w:r>
        <w:t xml:space="preserve"> </w:t>
      </w:r>
      <w:r>
        <w:t xml:space="preserve">issues, so the diagonal confirms that the grader correctly rewards recall and precision, and the</w:t>
      </w:r>
      <w:r>
        <w:t xml:space="preserve"> </w:t>
      </w:r>
      <w:r>
        <w:t xml:space="preserve">independent separation evidence is carried by the free-text, blind-graded skills, Framing and Steering,</w:t>
      </w:r>
      <w:r>
        <w:t xml:space="preserve"> </w:t>
      </w:r>
      <w:r>
        <w:t xml:space="preserve">whose positive own-effects (+0.62, +0.43) with near-zero cross-effects drive the result. (ii) The</w:t>
      </w:r>
      <w:r>
        <w:t xml:space="preserve"> </w:t>
      </w:r>
      <w:r>
        <w:t xml:space="preserve">dissociation replicates across grader backends spanning two providers (the grader-robustness check</w:t>
      </w:r>
      <w:r>
        <w:t xml:space="preserve"> </w:t>
      </w:r>
      <w:r>
        <w:t xml:space="preserve">below); agreement with human experts is the validity step the prepared study in Section 10 supplies.</w:t>
      </w:r>
      <w:r>
        <w:t xml:space="preserve"> </w:t>
      </w:r>
      <w:r>
        <w:t xml:space="preserve">(iii) With three constructs the separability evidence rests on the manipulation-based effect matrix and</w:t>
      </w:r>
      <w:r>
        <w:t xml:space="preserve"> </w:t>
      </w:r>
      <w:r>
        <w:t xml:space="preserve">the inter-skill correlations, the appropriate tests for the design. (iv) Steering's own-effect (+0.43</w:t>
      </w:r>
      <w:r>
        <w:t xml:space="preserve"> </w:t>
      </w:r>
      <w:r>
        <w:t xml:space="preserve">at N=80) is governed by the P2 ceiling by design: steering quality is bounded by the judging that</w:t>
      </w:r>
      <w:r>
        <w:t xml:space="preserve"> </w:t>
      </w:r>
      <w:r>
        <w:t xml:space="preserve">precedes it, so manipulating steering alone has bounded headroom. This is a property of the construct,</w:t>
      </w:r>
      <w:r>
        <w:t xml:space="preserve"> </w:t>
      </w:r>
      <w:r>
        <w:t xml:space="preserve">not of the grader: under a deliberately strict steering rubric (a C for vague or non-prioritized</w:t>
      </w:r>
      <w:r>
        <w:t xml:space="preserve"> </w:t>
      </w:r>
      <w:r>
        <w:t xml:space="preserve">commands) the steering own-effect is unchanged (+0.40 versus +0.50, statistically indistinguishable)</w:t>
      </w:r>
      <w:r>
        <w:t xml:space="preserve"> </w:t>
      </w:r>
      <w:r>
        <w:t xml:space="preserve">and the dissociation persists (ratio 27.5). Human steering data will trace this ceiling directly.</w:t>
      </w:r>
    </w:p>
    <w:bookmarkEnd w:id="33"/>
    <w:bookmarkStart w:id="34" w:name="Xa46466f38120f8ee74cb65c819a5bdd7729dab3"/>
    <w:p>
      <w:pPr>
        <w:pStyle w:val="Heading2"/>
        <w:keepNext/>
        <w:keepLines/>
        <w:widowControl w:val="1"/>
      </w:pPr>
      <w:r>
        <w:t xml:space="preserve">9. Tensions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mature account must confront four tensions rather than paper over them.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10.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ba3f6dd9d03393d7b20e910759a94d79249c978"/>
    <w:p>
      <w:pPr>
        <w:pStyle w:val="Heading2"/>
        <w:keepNext/>
        <w:keepLines/>
        <w:widowControl w:val="1"/>
      </w:pPr>
      <w:r>
        <w:t xml:space="preserve">10.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35"/>
    <w:bookmarkStart w:id="36" w:name="Xd9958a5808c799d638099c5f014583a644a871b"/>
    <w:p>
      <w:pPr>
        <w:pStyle w:val="Heading2"/>
        <w:keepNext/>
        <w:keepLines/>
        <w:widowControl w:val="1"/>
      </w:pPr>
      <w:r>
        <w:t xml:space="preserve">11.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proof-of-concept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10.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10).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10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6"/>
    <w:bookmarkStart w:id="37" w:name="X5947723a0a79e017d648ec5789efc916be82fa3"/>
    <w:p>
      <w:pPr>
        <w:pStyle w:val="Heading2"/>
        <w:keepNext/>
        <w:keepLines/>
        <w:widowControl w:val="1"/>
      </w:pPr>
      <w:r>
        <w:t xml:space="preserve">12.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on, for the assessment and instruction the moment</w:t>
      </w:r>
      <w:r>
        <w:t xml:space="preserve"> </w:t>
      </w:r>
      <w:r>
        <w:t xml:space="preserve">demands.</w:t>
      </w:r>
    </w:p>
    <w:bookmarkEnd w:id="37"/>
    <w:bookmarkStart w:id="44" w:name="appendix-a-system-walkthrough"/>
    <w:p>
      <w:pPr>
        <w:pStyle w:val="Heading2"/>
        <w:keepNext/>
        <w:keepLines/>
        <w:widowControl w:val="1"/>
      </w:pPr>
      <w:r>
        <w:t xml:space="preserve">Appendix A. System walkthrough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framework's central claim that productive AI use is not one skill but three.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37840"/>
            <wp:effectExtent b="0" l="0" r="0" t="0"/>
            <wp:docPr descr="Figure A1. A CoReasoning Lab challenge run." title="" id="39" name="Picture"/>
            <a:graphic>
              <a:graphicData uri="http://schemas.openxmlformats.org/drawingml/2006/picture">
                <pic:pic>
                  <pic:nvPicPr>
                    <pic:cNvPr descr="C:/Users/apart/AppData/Local/Temp/html2doc_svg_ScLfJu/svg_2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7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4173165"/>
            <wp:effectExtent b="0" l="0" r="0" t="0"/>
            <wp:docPr descr="Figure A2. CoReasoning Lab role interfaces." title="" id="42" name="Picture"/>
            <a:graphic>
              <a:graphicData uri="http://schemas.openxmlformats.org/drawingml/2006/picture">
                <pic:pic>
                  <pic:nvPicPr>
                    <pic:cNvPr descr="C:/Users/apart/AppData/Local/Temp/html2doc_svg_ScLfJu/svg_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7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44"/>
    <w:bookmarkStart w:id="45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Acar, O. A. (2023). AI Prompt Engineering Isn't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Anderson, L. W., &amp; Krathwohl, D. R. (2001). A Taxonomy for Learning, Teaching, and Assessing: A Revision of Bloom's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</w:t>
      </w:r>
      <w:r>
        <w:t xml:space="preserve">, 56(2), 81–105.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Gilson, L. L., &amp; Goldberg, C. B. (2015). Editors'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ReferenceEntry"/>
        <w:jc w:val="left"/>
        <w:keepNext w:val="0"/>
        <w:keepLines w:val="0"/>
        <w:widowControl w:val="1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45"/>
    <w:bookmarkEnd w:id="46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16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40" w:before="0" w:line="240" w:lineRule="auto"/>
      <w:ind w:left="0" w:firstLine="0"/>
      <w:jc w:val="both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2026-06-02T05:49:50Z</dcterms:created>
  <dcterms:modified xsi:type="dcterms:W3CDTF">2026-06-02T05:49:50Z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