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5wq8oy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5wq8oy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are screenshots of the running platform.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Appendix B, support the result: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 (a precision check, not accuracy against humans); the dissociation replicates across three grader backends spanning two providers (gpt-4o, gpt-4o-mini, and Meta's llama-3.3-70b; diagonal-to-off-diagonal ratio 39), so it does not hinge on one model snapshot; and a ground-truth ablation shows Framing and Steering are scored by rubric-guided model judgment while Judging, as instrumented, tracks the seeded answer key, which locates the Judging score to settings with known ground truth (Section 10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(Appendix B); agreement with</w:t>
      </w:r>
      <w:r>
        <w:t xml:space="preserve"> </w:t>
      </w:r>
      <w:r>
        <w:t xml:space="preserve">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42509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assets/system-challenge-ru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2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Screenshot of the running platform: a learner's challenge run, with the two-phase 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made explicit in the interface, Phase 1 (Framing) and Phase 2 (the Judge-Steer cycle). Each skill is</w:t>
      </w:r>
      <w:r>
        <w:rPr>
          <w:i/>
          <w:iCs/>
        </w:rPr>
        <w:t xml:space="preserve"> </w:t>
      </w:r>
      <w:r>
        <w:rPr>
          <w:i/>
          <w:iCs/>
        </w:rPr>
        <w:t xml:space="preserve">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 Lab instructor course analytics." title="" id="42" name="Picture"/>
            <a:graphic>
              <a:graphicData uri="http://schemas.openxmlformats.org/drawingml/2006/picture">
                <pic:pic>
                  <pic:nvPicPr>
                    <pic:cNvPr descr="assets/system-instructor-analytic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Screenshot of the running platform: the instructor course-analytics view. Grade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is broken out into separate Framing, Judging, and Steering panels, and the per-student</w:t>
      </w:r>
      <w:r>
        <w:rPr>
          <w:i/>
          <w:iCs/>
        </w:rPr>
        <w:t xml:space="preserve"> </w:t>
      </w:r>
      <w:r>
        <w:rPr>
          <w:i/>
          <w:iCs/>
        </w:rPr>
        <w:t xml:space="preserve">results list the three skills as distinct columns, the interface-level expression of the framework's</w:t>
      </w:r>
      <w:r>
        <w:rPr>
          <w:i/>
          <w:iCs/>
        </w:rPr>
        <w:t xml:space="preserve"> </w:t>
      </w:r>
      <w:r>
        <w:rPr>
          <w:i/>
          <w:iCs/>
        </w:rPr>
        <w:t xml:space="preserve">central claim that productive AI use is not one skill but three.</w:t>
      </w:r>
    </w:p>
    <w:bookmarkEnd w:id="44"/>
    <w:bookmarkStart w:id="45" w:name="appendix-b-robustness-and-ablations"/>
    <w:p>
      <w:pPr>
        <w:pStyle w:val="Heading2"/>
        <w:keepNext/>
        <w:keepLines/>
        <w:widowControl w:val="1"/>
      </w:pPr>
      <w:r>
        <w:t xml:space="preserve">Appendix B.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bookmarkEnd w:id="45"/>
    <w:bookmarkStart w:id="46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6"/>
    <w:bookmarkEnd w:id="47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2026-06-02T07:35:07Z</dcterms:created>
  <dcterms:modified xsi:type="dcterms:W3CDTF">2026-06-02T07:35:07Z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