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understanding, and uncritical</w:t>
      </w:r>
      <w:r>
        <w:t xml:space="preserve"> </w:t>
      </w:r>
      <w:r>
        <w:t xml:space="preserve">use is increasingly linked to cognitive offloading and weakened critical thinking. This exposes a</w:t>
      </w:r>
      <w:r>
        <w:t xml:space="preserve"> </w:t>
      </w:r>
      <w:r>
        <w:t xml:space="preserve">mismatch between what education assesses and what students now do: our examinations still measure</w:t>
      </w:r>
      <w:r>
        <w:t xml:space="preserve"> </w:t>
      </w:r>
      <w:r>
        <w:rPr>
          <w:i/>
          <w:iCs/>
        </w:rPr>
        <w:t xml:space="preserve">unaided</w:t>
      </w:r>
      <w:r>
        <w:t xml:space="preserve"> </w:t>
      </w:r>
      <w:r>
        <w:t xml:space="preserve">performance, while the task graduates actually face, in classrooms and workplaces saturated</w:t>
      </w:r>
      <w:r>
        <w:t xml:space="preserve"> </w:t>
      </w:r>
      <w:r>
        <w:t xml:space="preserve">with capable AI, is to produce good work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it, by framing an ill-defined task, judging the output,</w:t>
      </w:r>
      <w:r>
        <w:t xml:space="preserve"> </w:t>
      </w:r>
      <w:r>
        <w:t xml:space="preserve">and steering the model toward something better. This ability to work with AI is neither taught nor</w:t>
      </w:r>
      <w:r>
        <w:t xml:space="preserve"> </w:t>
      </w:r>
      <w:r>
        <w:t xml:space="preserve">assessed as a competency in its own right; where it is measured at all, it is folded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given learner’s AI use succeeds or fails, whether they</w:t>
      </w:r>
      <w:r>
        <w:t xml:space="preserve"> </w:t>
      </w:r>
      <w:r>
        <w:t xml:space="preserve">specified the task poorly, missed the flaws in the output, or failed to correct them. We treat it</w:t>
      </w:r>
      <w:r>
        <w:t xml:space="preserve"> </w:t>
      </w:r>
      <w:r>
        <w:t xml:space="preserve">instead as a teachable, assessable competency that can be named, decomposed, and measured.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establishing that they</w:t>
      </w:r>
      <w:r>
        <w:t xml:space="preserve"> </w:t>
      </w:r>
      <w:r>
        <w:t xml:space="preserve">are genuinely distinct competencies and not one relabeled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This extension is non-trivial. Exo-directed monitoring adds</w:t>
      </w:r>
      <w:r>
        <w:t xml:space="preserve"> </w:t>
      </w:r>
      <w:r>
        <w:t xml:space="preserve">an epistemic-vigilance burden that self-monitoring does not have: the learner must judge the reliability</w:t>
      </w:r>
      <w:r>
        <w:t xml:space="preserve"> </w:t>
      </w:r>
      <w:r>
        <w:t xml:space="preserve">of a source whose competence differs from, and is hidden from, their own. This is exactly why Judging is</w:t>
      </w:r>
      <w:r>
        <w:t xml:space="preserve"> </w:t>
      </w:r>
      <w:r>
        <w:t xml:space="preserve">bounded by domain knowledge (Proposition P4). With that point made,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 and Elder (2006)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inverts cognitive-apprenticeship coaching and</w:t>
      </w:r>
      <w:r>
        <w:t xml:space="preserve"> </w:t>
      </w:r>
      <w:r>
        <w:t xml:space="preserve">scaffolding (Collins, Brown &amp; Newman, 1989): the learner, not the master, supplies the corrective</w:t>
      </w:r>
      <w:r>
        <w:t xml:space="preserve"> </w:t>
      </w:r>
      <w:r>
        <w:t xml:space="preserve">guidance. Its quality depends on the learner monitoring the work against held standards (Sadler, 1989),</w:t>
      </w:r>
      <w:r>
        <w:t xml:space="preserve"> </w:t>
      </w:r>
      <w:r>
        <w:t xml:space="preserve">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</w:t>
      </w:r>
      <w:r>
        <w:t xml:space="preserve"> </w:t>
      </w:r>
      <w:r>
        <w:t xml:space="preserve">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claim, and it establishes</w:t>
      </w:r>
      <w:r>
        <w:t xml:space="preserve"> </w:t>
      </w:r>
      <w:r>
        <w:t xml:space="preserve">that the three skills are genuinely distinct rather than a relabeling of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: a library of sixteen prompts plus</w:t>
      </w:r>
      <w:r>
        <w:t xml:space="preserve"> </w:t>
      </w:r>
      <w:r>
        <w:t xml:space="preserve">a controlled-generation harness (Section 7.1). The interface figures in this paper (Figures A1 and A2)</w:t>
      </w:r>
      <w:r>
        <w:t xml:space="preserve"> </w:t>
      </w:r>
      <w:r>
        <w:t xml:space="preserve">are representative mockups of the prototype, not screenshots of a running deployment. All quantitative</w:t>
      </w:r>
      <w:r>
        <w:t xml:space="preserve"> </w:t>
      </w:r>
      <w:r>
        <w:t xml:space="preserve">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Judging’s own-effect (+2.00) is fixed by</w:t>
      </w:r>
      <w:r>
        <w:t xml:space="preserve"> </w:t>
      </w:r>
      <w:r>
        <w:t xml:space="preserve">construction, since its competence is operationalized by a controlled selection over ground-truth</w:t>
      </w:r>
      <w:r>
        <w:t xml:space="preserve"> </w:t>
      </w:r>
      <w:r>
        <w:t xml:space="preserve">issues; the decisive evidence is therefore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</w:t>
      </w:r>
      <w:r>
        <w:t xml:space="preserve"> </w:t>
      </w:r>
      <w:r>
        <w:t xml:space="preserve">free-text responses the grader scores without knowing the intended competence. Each shows a clear</w:t>
      </w:r>
      <w:r>
        <w:t xml:space="preserve"> </w:t>
      </w:r>
      <w:r>
        <w:t xml:space="preserve">positive own-effect (+0.62 and +0.43) with near-zero cross-effects, so a simulated learner’s three</w:t>
      </w:r>
      <w:r>
        <w:t xml:space="preserve"> </w:t>
      </w:r>
      <w:r>
        <w:t xml:space="preserve">model-assigned grades move 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decisive</w:t>
      </w:r>
      <w:r>
        <w:t xml:space="preserve"> </w:t>
      </w:r>
      <w:r>
        <w:t xml:space="preserve">demonstration: these two skills are scored by entirely separate mechanisms (free-text framing</w:t>
      </w:r>
      <w:r>
        <w:t xml:space="preserve"> </w:t>
      </w:r>
      <w:r>
        <w:t xml:space="preserve">evaluation versus issue-selection judging) yet their grades are uncorrelated, which a single</w:t>
      </w:r>
      <w:r>
        <w:t xml:space="preserve"> </w:t>
      </w:r>
      <w:r>
        <w:t xml:space="preserve">general-ability account cannot produce. The Judging-Steering correlation behaves exactly as Proposition</w:t>
      </w:r>
      <w:r>
        <w:t xml:space="preserve"> </w:t>
      </w:r>
      <w:r>
        <w:t xml:space="preserve">P2 predicts, the expected ceiling relation in which judging gates steering, and so is consistent with,</w:t>
      </w:r>
      <w:r>
        <w:t xml:space="preserve"> </w:t>
      </w:r>
      <w:r>
        <w:t xml:space="preserve">rather than evidence against,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setting. In an intervention study,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 queries,</w:t>
      </w:r>
      <w:r>
        <w:t xml:space="preserve"> </w:t>
      </w:r>
      <w:r>
        <w:t xml:space="preserve">checking correctness) predicts effective use, whereas self-rated AI expertise does not (Clerc et al.,</w:t>
      </w:r>
      <w:r>
        <w:t xml:space="preserve"> </w:t>
      </w:r>
      <w:r>
        <w:t xml:space="preserve">2026). The skill of working with AI is thus distinct from a general,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Because Judging contributes a</w:t>
      </w:r>
      <w:r>
        <w:t xml:space="preserve"> </w:t>
      </w:r>
      <w:r>
        <w:t xml:space="preserve">flip rate of zero by construction, the load-bearing figure is the blind-graded skills, whose flip rate</w:t>
      </w:r>
      <w:r>
        <w:t xml:space="preserve"> </w:t>
      </w:r>
      <w:r>
        <w:t xml:space="preserve">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is smallest, +0.10 here, consistent with</w:t>
      </w:r>
      <w:r>
        <w:t xml:space="preserve"> </w:t>
      </w:r>
      <w:r>
        <w:t xml:space="preserve">the Proposition-P2 ceiling relation discussed below rather than absence of the construct.)</w:t>
      </w:r>
    </w:p>
    <w:p>
      <w:pPr>
        <w:pStyle w:val="BodyText"/>
      </w:pPr>
      <w:r>
        <w:rPr>
          <w:b/>
          <w:bCs/>
        </w:rPr>
        <w:t xml:space="preserve">Dependence on ground-truth scaffolding.</w:t>
      </w:r>
      <w:r>
        <w:t xml:space="preserve"> </w:t>
      </w:r>
      <w:r>
        <w:t xml:space="preserve">To probe how much the instrument’s discrimination relies on</w:t>
      </w:r>
      <w:r>
        <w:t xml:space="preserve"> </w:t>
      </w:r>
      <w:r>
        <w:t xml:space="preserve">the seeded ground truth (the gold framing supplied to the framing evaluator and the known seeded issues</w:t>
      </w:r>
      <w:r>
        <w:t xml:space="preserve"> </w:t>
      </w:r>
      <w:r>
        <w:t xml:space="preserve">supplied to the judging evaluator) versus the model’s own judgment, we re-grade a 40-learner subset</w:t>
      </w:r>
      <w:r>
        <w:t xml:space="preserve"> </w:t>
      </w:r>
      <w:r>
        <w:t xml:space="preserve">(five subjects) with that scaffolding removed, comparing against that subset’s own baseline (Framing</w:t>
      </w:r>
      <w:r>
        <w:t xml:space="preserve"> </w:t>
      </w:r>
      <w:r>
        <w:t xml:space="preserve">+0.60, Judging +2.00, Steering +0.50). The effect is sharply skill-specific. Framing discrimination is essentially</w:t>
      </w:r>
      <w:r>
        <w:t xml:space="preserve"> </w:t>
      </w:r>
      <w:r>
        <w:t xml:space="preserve">unaffected (own-effect +0.75 without the gold reference, versus +0.60 with it): the rubric and the</w:t>
      </w:r>
      <w:r>
        <w:t xml:space="preserve"> </w:t>
      </w:r>
      <w:r>
        <w:t xml:space="preserve">model’s own judgment carry it. Judging discrimination, by contrast, falls sharply (+2.00 to +0.45):</w:t>
      </w:r>
      <w:r>
        <w:t xml:space="preserve"> </w:t>
      </w:r>
      <w:r>
        <w:t xml:space="preserve">without the known issues the grader has no recall-precision anchor and no longer separates strong from</w:t>
      </w:r>
      <w:r>
        <w:t xml:space="preserve"> </w:t>
      </w:r>
      <w:r>
        <w:t xml:space="preserve">weak judging. Steering falls in between (+0.50 to +0.25). Separability itself survives (the skills still</w:t>
      </w:r>
      <w:r>
        <w:t xml:space="preserve"> </w:t>
      </w:r>
      <w:r>
        <w:t xml:space="preserve">dissociate, ratio 29), but the result clarifies what each grade measures: Framing and Steering are</w:t>
      </w:r>
      <w:r>
        <w:t xml:space="preserve"> </w:t>
      </w:r>
      <w:r>
        <w:t xml:space="preserve">scored largely by rubric-guided model judgment, whereas Judging</w:t>
      </w:r>
      <w:r>
        <w:t xml:space="preserve"> </w:t>
      </w:r>
      <w:r>
        <w:rPr>
          <w:i/>
          <w:iCs/>
        </w:rPr>
        <w:t xml:space="preserve">as instrumented here</w:t>
      </w:r>
      <w:r>
        <w:t xml:space="preserve"> </w:t>
      </w:r>
      <w:r>
        <w:t xml:space="preserve">is close to a</w:t>
      </w:r>
      <w:r>
        <w:t xml:space="preserve"> </w:t>
      </w:r>
      <w:r>
        <w:t xml:space="preserve">measurement of agreement with a known answer key. This both explains Judging’s by-construction +2.00</w:t>
      </w:r>
      <w:r>
        <w:t xml:space="preserve"> </w:t>
      </w:r>
      <w:r>
        <w:t xml:space="preserve">and bounds its transfer to open-ended settings where no such key exists, an important caveat for any</w:t>
      </w:r>
      <w:r>
        <w:t xml:space="preserve"> </w:t>
      </w:r>
      <w:r>
        <w:t xml:space="preserve">deployment that scores judging without seeded ground truth.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(+0.62, +0.43)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As noted above, with three indicators a factor model is</w:t>
      </w:r>
      <w:r>
        <w:t xml:space="preserve"> </w:t>
      </w:r>
      <w:r>
        <w:t xml:space="preserve">under-identified, so the separability evidence rests on the manipulation-based effect matrix and the</w:t>
      </w:r>
      <w:r>
        <w:t xml:space="preserve"> </w:t>
      </w:r>
      <w:r>
        <w:t xml:space="preserve">inter-skill correlations, not on a confirmatory dimensionality test. (iv) Steering shows the smallest own-effect (+0.43 at N=80).</w:t>
      </w:r>
      <w:r>
        <w:t xml:space="preserve"> </w:t>
      </w:r>
      <w:r>
        <w:t xml:space="preserve">This is not a grader-leniency artifact: under a deliberately strict steering rubric (which mandates a C</w:t>
      </w:r>
      <w:r>
        <w:t xml:space="preserve"> </w:t>
      </w:r>
      <w:r>
        <w:t xml:space="preserve">for vague or non-prioritized commands), the steering own-effect on the 40-learner subset does not</w:t>
      </w:r>
      <w:r>
        <w:t xml:space="preserve"> </w:t>
      </w:r>
      <w:r>
        <w:t xml:space="preserve">increase (+0.40, versus +0.50 under the standard rubric, statistically indistinguishable), while the</w:t>
      </w:r>
      <w:r>
        <w:t xml:space="preserve"> </w:t>
      </w:r>
      <w:r>
        <w:t xml:space="preserve">dissociation persists (ratio 27.5; the designed contrasts still decouple). The modest steering effect</w:t>
      </w:r>
      <w:r>
        <w:t xml:space="preserve"> </w:t>
      </w:r>
      <w:r>
        <w:t xml:space="preserve">instead reflects the ceiling relation that Proposition P2 predicts (steering quality is bounded by the</w:t>
      </w:r>
      <w:r>
        <w:t xml:space="preserve"> </w:t>
      </w:r>
      <w:r>
        <w:t xml:space="preserve">judging it follows, so a competence manipulation on steering alone has limited headroom) together with</w:t>
      </w:r>
      <w:r>
        <w:t xml:space="preserve"> </w:t>
      </w:r>
      <w:r>
        <w:t xml:space="preserve">homogeneity in the simulated steering responses; both are best resolved with human steering data, which</w:t>
      </w:r>
      <w:r>
        <w:t xml:space="preserve"> </w:t>
      </w:r>
      <w:r>
        <w:t xml:space="preserve">the validation study supplies.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dissociation replicates under a second grader backend, but both are from</w:t>
      </w:r>
      <w:r>
        <w:t xml:space="preserve"> </w:t>
      </w:r>
      <w:r>
        <w:t xml:space="preserve">one provider, and the deployed prototype’s engine (llama-3.3-70b) differs again, so cross-vendor</w:t>
      </w:r>
      <w:r>
        <w:t xml:space="preserve"> </w:t>
      </w:r>
      <w:r>
        <w:t xml:space="preserve">robustness is only partly established. The challenges are English-language, and the automated grades</w:t>
      </w:r>
      <w:r>
        <w:t xml:space="preserve"> </w:t>
      </w:r>
      <w:r>
        <w:t xml:space="preserve">have not yet been validated against human experts (Section 10). Two construct-specific limits deserve</w:t>
      </w:r>
      <w:r>
        <w:t xml:space="preserve"> </w:t>
      </w:r>
      <w:r>
        <w:t xml:space="preserve">emphasis. First, Judging as instrumented here measures agreement with a seeded answer key: that key</w:t>
      </w:r>
      <w:r>
        <w:t xml:space="preserve"> </w:t>
      </w:r>
      <w:r>
        <w:t xml:space="preserve">drives its discrimination (Section 8), so the judging score applies to settings with known ground truth</w:t>
      </w:r>
      <w:r>
        <w:t xml:space="preserve"> </w:t>
      </w:r>
      <w:r>
        <w:t xml:space="preserve">and would need re-validation for open-ended use without it. Second, Steering yields the smallest and</w:t>
      </w:r>
      <w:r>
        <w:t xml:space="preserve"> </w:t>
      </w:r>
      <w:r>
        <w:t xml:space="preserve">most P2-bounded signal (it is gated by the judging it precedes), and is the construct whose measurement</w:t>
      </w:r>
      <w:r>
        <w:t xml:space="preserve"> </w:t>
      </w:r>
      <w:r>
        <w:t xml:space="preserve">would benefit most from human data. We make no learning-outcome claim. What the paper establishes is</w:t>
      </w:r>
      <w:r>
        <w:t xml:space="preserve"> </w:t>
      </w:r>
      <w:r>
        <w:t xml:space="preserve">conceptual: a theoretically-grounded decomposition with stated propositions, a precise novelty</w:t>
      </w:r>
      <w:r>
        <w:t xml:space="preserve"> </w:t>
      </w:r>
      <w:r>
        <w:t xml:space="preserve">boundary, and evidence that the three 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Buçinca,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Sauzéon,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Gašević,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Große,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Gašević,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Käser,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Clément,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UNESCO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2026-06-01T08:59:14Z</dcterms:created>
  <dcterms:modified xsi:type="dcterms:W3CDTF">2026-06-01T08:59:14Z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