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qpSNtq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qpSNtq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Appendix B, support the result: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 (a precision check, not accuracy against humans); the dissociation replicates across three grader backends spanning two providers (gpt-4o, gpt-4o-mini, and Meta's llama-3.3-70b; diagonal-to-off-diagonal ratio 39), so it does not hinge on one model snapshot; and a ground-truth ablation shows Framing and Steering are scored by rubric-guided model judgment while Judging, as instrumented, tracks the seeded answer key, which locates the Judging score to settings with known ground truth (Section 10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(Appendix B); agreement with</w:t>
      </w:r>
      <w:r>
        <w:t xml:space="preserve"> </w:t>
      </w:r>
      <w:r>
        <w:t xml:space="preserve">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qpSNtq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qpSNtq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appendix-b-robustness-and-ablations"/>
    <w:p>
      <w:pPr>
        <w:pStyle w:val="Heading2"/>
        <w:keepNext/>
        <w:keepLines/>
        <w:widowControl w:val="1"/>
      </w:pPr>
      <w:r>
        <w:t xml:space="preserve">Appendix B.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bookmarkEnd w:id="45"/>
    <w:bookmarkStart w:id="46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6"/>
    <w:bookmarkEnd w:id="47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2026-06-02T07:04:16Z</dcterms:created>
  <dcterms:modified xsi:type="dcterms:W3CDTF">2026-06-02T07:04:16Z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