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IqKI4r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IqKI4r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its interface is bilingual (English and Hebrew), and it supports both</w:t>
      </w:r>
      <w:r>
        <w:t xml:space="preserve"> </w:t>
      </w:r>
      <w:r>
        <w:t xml:space="preserve">practice and assessment modes and both multiple-choice and open-ended response formats per phase. All</w:t>
      </w:r>
      <w:r>
        <w:t xml:space="preserve"> </w:t>
      </w:r>
      <w:r>
        <w:t xml:space="preserve">challenges evaluated in this paper are English-language (Section 11); the bilingual interface is not a</w:t>
      </w:r>
      <w:r>
        <w:t xml:space="preserve"> </w:t>
      </w:r>
      <w:r>
        <w:t xml:space="preserve">claim of validated cross-language scoring.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learners whose competences share a single latent level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(target on the order of 150 to</w:t>
      </w:r>
      <w:r>
        <w:t xml:space="preserve"> </w:t>
      </w:r>
      <w:r>
        <w:t xml:space="preserve">200 transcripts spanning competence profiles and subjects) is re-graded by at least three blind human</w:t>
      </w:r>
      <w:r>
        <w:t xml:space="preserve"> </w:t>
      </w:r>
      <w:r>
        <w:t xml:space="preserve">experts per skill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; that sample size supports a reasonably precise</w:t>
      </w:r>
      <w:r>
        <w:t xml:space="preserve"> </w:t>
      </w:r>
      <w:r>
        <w:t xml:space="preserve">agreement estimate (half-width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) and the detection of a</w:t>
      </w:r>
      <w:r>
        <w:t xml:space="preserve"> </w:t>
      </w:r>
      <m:oMath>
        <m:r>
          <m:t>κ</m:t>
        </m:r>
        <m:r>
          <m:rPr>
            <m:sty m:val="p"/>
          </m:rPr>
          <m:t>≥</m:t>
        </m:r>
        <m:r>
          <m:t>0.6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floor.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IqKI4r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IqKI4r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2026-06-02T05:27:14Z</dcterms:created>
  <dcterms:modified xsi:type="dcterms:W3CDTF">2026-06-02T05:27:14Z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