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10080"/>
      </w:tblGrid>
      <w:tr>
        <w:tc>
          <w:tcPr>
            <w:tcW w:type="dxa" w:w="10080"/>
            <w:tcBorders>
              <w:left w:val="nil"/>
              <w:right w:val="nil"/>
              <w:top w:val="nil"/>
              <w:bottom w:val="nil"/>
            </w:tcBorders>
          </w:tcPr>
          <w:p>
            <w:pPr>
              <w:spacing w:before="0" w:after="40" w:line="240" w:lineRule="auto"/>
              <w:jc w:val="center"/>
            </w:pPr>
            <w:r/>
            <w:r>
              <w:rPr>
                <w:rFonts w:ascii="Georgia" w:hAnsi="Georgia"/>
                <w:b/>
                <w:i w:val="0"/>
                <w:sz w:val="22"/>
              </w:rPr>
              <w:t>Alexander Apartsin¹ and Yehudit Aperstein²</w:t>
            </w:r>
          </w:p>
        </w:tc>
      </w:tr>
      <w:tr>
        <w:tc>
          <w:tcPr>
            <w:tcW w:type="dxa" w:w="10080"/>
            <w:tcBorders>
              <w:left w:val="nil"/>
              <w:right w:val="nil"/>
              <w:top w:val="nil"/>
              <w:bottom w:val="nil"/>
            </w:tcBorders>
          </w:tcPr>
          <w:p>
            <w:pPr>
              <w:spacing w:before="0" w:after="120" w:line="240" w:lineRule="auto"/>
              <w:jc w:val="center"/>
            </w:pPr>
            <w:r/>
            <w:r>
              <w:rPr>
                <w:rFonts w:ascii="Georgia" w:hAnsi="Georgia"/>
                <w:b w:val="0"/>
                <w:i/>
                <w:sz w:val="19"/>
              </w:rPr>
              <w:t>¹ Holon Institute of Technology · ² Afeka College of Engineering</w:t>
            </w:r>
          </w:p>
        </w:tc>
      </w:tr>
    </w:tbl>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 learner's AI use succeeds or fails. We propose</w:t>
      </w:r>
      <w:r>
        <w:t xml:space="preserve"> </w:t>
      </w:r>
      <w:r>
        <w:rPr>
          <w:b/>
          <w:bCs/>
        </w:rPr>
        <w:t xml:space="preserve">CoReasoning</w:t>
      </w:r>
      <w:r>
        <w:t xml:space="preserve">, a competency model factoring productive AI use into three assessable skills:</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 Lab</w:t>
      </w:r>
      <w:r>
        <w:t xml:space="preserve">, an open platform that presents flawed AI output and scores the three skills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the next steps; we release the instrument, data, and protocol.</w:t>
      </w:r>
    </w:p>
    <w:p>
      <w:pPr>
        <w:spacing w:before="0" w:after="0" w:line="52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74827"/>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7WxKQ8/svg_0.png" id="12" name="Picture"/>
                    <pic:cNvPicPr>
                      <a:picLocks noChangeArrowheads="1" noChangeAspect="1"/>
                    </pic:cNvPicPr>
                  </pic:nvPicPr>
                  <pic:blipFill>
                    <a:blip r:embed="rId10"/>
                    <a:stretch>
                      <a:fillRect/>
                    </a:stretch>
                  </pic:blipFill>
                  <pic:spPr bwMode="auto">
                    <a:xfrm>
                      <a:off x="0" y="0"/>
                      <a:ext cx="6400800" cy="32748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 (schematic).</w:t>
      </w:r>
      <w:r>
        <w:rPr>
          <w:b w:val="0"/>
          <w:i/>
        </w:rPr>
        <w:t xml:space="preserve"> </w:t>
      </w:r>
      <w:r>
        <w:rPr>
          <w:b w:val="0"/>
          <w:i/>
        </w:rPr>
        <w:t>As models absorb more of the execution, the part of a task a competent person must still own shifts from doing the work toward framing, judging, and steering it; the axes are conceptual, not quantitative. CoReasoning is a decomposition and assessment of that shifting contribution.</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We propose</w:t>
      </w:r>
      <w:r>
        <w:t xml:space="preserve"> </w:t>
      </w:r>
      <w:r>
        <w:rPr>
          <w:b/>
          <w:bCs/>
        </w:rPr>
        <w:t xml:space="preserve">CoReasoning</w:t>
      </w:r>
      <w:r>
        <w:t xml:space="preserve">, a competency model that decomposes productive work with generative AI into</w:t>
      </w:r>
      <w:r>
        <w:t xml:space="preserve"> </w:t>
      </w:r>
      <w:r>
        <w:t xml:space="preserve">three distinct skills, each independently assessable:</w:t>
      </w:r>
    </w:p>
    <w:p>
      <w:pPr>
        <w:pStyle w:val="Compact"/>
        <w:numPr>
          <w:ilvl w:val="0"/>
          <w:numId w:val="1001"/>
        </w:numPr>
        <w:ind w:left="360" w:hanging="259"/>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ind w:left="360" w:hanging="259"/>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ind w:left="360" w:hanging="259"/>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ind w:left="360" w:hanging="259"/>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ind w:left="360" w:hanging="259"/>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the decomposition is principled rather</w:t>
      </w:r>
      <w:r>
        <w:t xml:space="preserve"> </w:t>
      </w:r>
      <w:r>
        <w:t xml:space="preserve">than ad hoc.</w:t>
      </w:r>
    </w:p>
    <w:p>
      <w:pPr>
        <w:pStyle w:val="Compact"/>
        <w:numPr>
          <w:ilvl w:val="0"/>
          <w:numId w:val="1002"/>
        </w:numPr>
        <w:ind w:left="360" w:hanging="259"/>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which is what turns a taxonomy into a conceptual contribution that proposes new</w:t>
      </w:r>
      <w:r>
        <w:t xml:space="preserve"> </w:t>
      </w:r>
      <w:r>
        <w:t xml:space="preserve">relationships among constructs (Gilson &amp; Goldberg, 2015; Jaakkola, 2020).</w:t>
      </w:r>
    </w:p>
    <w:p>
      <w:pPr>
        <w:pStyle w:val="Compact"/>
        <w:numPr>
          <w:ilvl w:val="0"/>
          <w:numId w:val="1002"/>
        </w:numPr>
        <w:ind w:left="360" w:hanging="259"/>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stating exactly what is and is not new.</w:t>
      </w:r>
    </w:p>
    <w:p>
      <w:pPr>
        <w:pStyle w:val="Compact"/>
        <w:numPr>
          <w:ilvl w:val="0"/>
          <w:numId w:val="1002"/>
        </w:numPr>
        <w:ind w:left="360" w:hanging="259"/>
        <w:jc w:val="both"/>
        <w:keepNext w:val="0"/>
        <w:keepLines w:val="0"/>
        <w:widowControl w:val="1"/>
      </w:pPr>
      <w:r>
        <w:rPr>
          <w:b/>
          <w:bCs/>
        </w:rPr>
        <w:t xml:space="preserve">A proof-of-concept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skills are separately measurable, not one relabeled "prompting" skill.</w:t>
      </w:r>
    </w:p>
    <w:p>
      <w:pPr>
        <w:pStyle w:val="Compact"/>
        <w:numPr>
          <w:ilvl w:val="0"/>
          <w:numId w:val="1002"/>
        </w:numPr>
        <w:ind w:left="360" w:hanging="259"/>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10).</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CoReasoning addresses.</w:t>
      </w:r>
    </w:p>
    <w:bookmarkEnd w:id="14"/>
    <w:bookmarkStart w:id="21" w:name="X633cad0d74cfeb5d5acc5b289e740398e9962c8"/>
    <w:p>
      <w:pPr>
        <w:pStyle w:val="Heading2"/>
        <w:keepNext/>
        <w:keepLines/>
        <w:widowControl w:val="1"/>
      </w:pPr>
      <w:r>
        <w:t xml:space="preserve">3. The CoReasoning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CoReasoning,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ind w:left="360" w:hanging="259"/>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ind w:left="360" w:hanging="259"/>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ind w:left="360" w:hanging="259"/>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756991"/>
            <wp:effectExtent b="0" l="0" r="0" t="0"/>
            <wp:docPr descr="Figure 2. The CoReasoning architecture." title="" id="16" name="Picture"/>
            <a:graphic>
              <a:graphicData uri="http://schemas.openxmlformats.org/drawingml/2006/picture">
                <pic:pic>
                  <pic:nvPicPr>
                    <pic:cNvPr descr="C:/Users/apart/AppData/Local/Temp/html2doc_svg_7WxKQ8/svg_1.png" id="17" name="Picture"/>
                    <pic:cNvPicPr>
                      <a:picLocks noChangeArrowheads="1" noChangeAspect="1"/>
                    </pic:cNvPicPr>
                  </pic:nvPicPr>
                  <pic:blipFill>
                    <a:blip r:embed="rId15"/>
                    <a:stretch>
                      <a:fillRect/>
                    </a:stretch>
                  </pic:blipFill>
                  <pic:spPr bwMode="auto">
                    <a:xfrm>
                      <a:off x="0" y="0"/>
                      <a:ext cx="6400800" cy="375699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CoReasoning loop. An upstream task definition (Framing, a self-regulated-learning forethought activity) sets the standards against which a metacognitive monitor-control cycle (Judging then Steering) supervises a fallible AI at the object level. Judging is the monitor's read-out; Steering is the controller's write.</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CoReasoning's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CoReasoning's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ind w:left="360" w:hanging="259"/>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ind w:left="360" w:hanging="259"/>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ind w:left="360" w:hanging="259"/>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ind w:left="360" w:hanging="259"/>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ind w:left="360" w:hanging="259"/>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10),</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CoReasoning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CoReasoning's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CoReasoning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CoReasoning rejects. Treating them</w:t>
      </w:r>
      <w:r>
        <w:t xml:space="preserve"> </w:t>
      </w:r>
      <w:r>
        <w:t xml:space="preserve">separately is not a cosmetic relabeling: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CoReasoning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CoReasoning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Where prior frameworks place the three CoReasoning skills.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4D AI Fluency (Dakan &amp; Feller, 2025)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Delegation + part of Description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Discernment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Description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Metacognitive demands (Tankelevitch et al.,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"prompting" (as a demand, not a skill)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"evaluating outputs"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"workflow iteration"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 literacy / CLEAR (Lo, 2023)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"prompting"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weakly present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"iterative refinement"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AI literacy (Long &amp; Magerko, 2020; UNESCO,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diffuse "critical evaluation"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Cyborg/Centaur modes (Randazzo et al., 2025)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"directed" mode (described, not assessed)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"push back / validate"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"continuous dialogue"</w:t>
            </w:r>
          </w:p>
        </w:tc>
      </w:tr>
    </w:tbl>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CoReasoning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CoReasoning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CoReasoning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CoReasoning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defensible claim is not that any single skill is new, but that the</w:t>
      </w:r>
      <w:r>
        <w:t xml:space="preserve"> </w:t>
      </w:r>
      <w:r>
        <w:rPr>
          <w:i/>
          <w:iCs/>
        </w:rPr>
        <w:t xml:space="preserve">separation</w:t>
      </w:r>
      <w:r>
        <w:t xml:space="preserve"> </w:t>
      </w:r>
      <w:r>
        <w:t xml:space="preserve">is</w:t>
      </w:r>
      <w:r>
        <w:t xml:space="preserve"> </w:t>
      </w:r>
      <w:r>
        <w:t xml:space="preserve">both theoretically motivated (monitor-control plus an upstream task definition) and empirically</w:t>
      </w:r>
      <w:r>
        <w:t xml:space="preserve"> </w:t>
      </w:r>
      <w:r>
        <w:t xml:space="preserve">consequential (the skills can be measured apart).</w:t>
      </w:r>
    </w:p>
    <w:bookmarkEnd w:id="24"/>
    <w:bookmarkStart w:id="25" w:name="Xeee0f31b39981a3e100f5aaf50a49be1e1b4285"/>
    <w:p>
      <w:pPr>
        <w:pStyle w:val="Heading2"/>
        <w:keepNext/>
        <w:keepLines/>
        <w:widowControl w:val="1"/>
      </w:pPr>
      <w:r>
        <w:t xml:space="preserve">7. The CoReasoning Lab system</w:t>
      </w:r>
    </w:p>
    <w:p>
      <w:pPr>
        <w:pStyle w:val="FirstParagraph"/>
        <w:jc w:val="both"/>
        <w:keepNext w:val="0"/>
        <w:keepLines w:val="0"/>
        <w:widowControl w:val="1"/>
      </w:pPr>
      <w:r>
        <w:t xml:space="preserve">The framework is instantiated in</w:t>
      </w:r>
      <w:r>
        <w:t xml:space="preserve"> </w:t>
      </w:r>
      <w:r>
        <w:rPr>
          <w:i/>
          <w:iCs/>
        </w:rPr>
        <w:t xml:space="preserve">CoReasoning 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and Appendix A walks through the</w:t>
      </w:r>
      <w:r>
        <w:t xml:space="preserve"> </w:t>
      </w:r>
      <w:r>
        <w:t xml:space="preserve">system end to end. All challenges evaluated in this paper are</w:t>
      </w:r>
      <w:r>
        <w:t xml:space="preserve"> </w:t>
      </w:r>
      <w:r>
        <w:t xml:space="preserve">English-language (Section 11),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ind w:left="360" w:hanging="259"/>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ind w:left="360" w:hanging="259"/>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ind w:left="360" w:hanging="259"/>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ind w:left="360" w:hanging="259"/>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End w:id="25"/>
    <w:bookmarkStart w:id="26" w:name="X3d8be0d8bf4ad30b87d3536652355afd0bfa982"/>
    <w:p>
      <w:pPr>
        <w:pStyle w:val="Heading2"/>
        <w:keepNext/>
        <w:keepLines/>
        <w:widowControl w:val="1"/>
      </w:pPr>
      <w:r>
        <w:t xml:space="preserve">7.1 Operationalization: a proof-of-concept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CoReasoning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 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10</w:t>
      </w:r>
      <w:r>
        <w:t xml:space="preserve"> </w:t>
      </w:r>
      <w:r>
        <w:t xml:space="preserve">addresses.</w:t>
      </w:r>
    </w:p>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10).</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11).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Framing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Judging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+2.00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Steering</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+0.43</w:t>
            </w:r>
          </w:p>
        </w:tc>
      </w:tr>
    </w:tbl>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Multitrait-multimethod validity. Panel A: convergent agreement of the same skill across the three grader backends (mean pairwise per-learner rank correlation on the 40 shared transcripts). Panel B: inter-skill grade correlation by population, showing the instrument recovers the population's dependence structure (discriminant on the full crossed design, convergent on the n=20 all-strong and 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same skill across gpt-4o, gpt-4o-mini, llama-3.3-70b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+0.67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+0.21</w:t>
            </w:r>
          </w:p>
        </w:tc>
      </w:tr>
    </w:tbl>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independent (crossed) competences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rPr>
                  <m:sty m:val="p"/>
                </m:rPr>
                <m:t>|</m:t>
              </m:r>
              <m:r>
                <m:t>ρ</m:t>
              </m:r>
              <m:r>
                <m:rPr>
                  <m:sty m:val="p"/>
                </m:rPr>
                <m:t>|</m:t>
              </m:r>
            </m:oMath>
            <w:r>
              <w:rPr>
                <w:rFonts w:ascii="Georgia" w:hAnsi="Georgia"/>
                <w:sz w:val="20"/>
              </w:rPr>
              <w:t xml:space="preserve"> </w:t>
            </w:r>
            <w:r>
              <w:rPr>
                <w:rFonts w:ascii="Georgia" w:hAnsi="Georgia"/>
                <w:sz w:val="20"/>
              </w:rPr>
              <w:t xml:space="preserve">= 0.13</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shared single-ability level</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+0.14</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t>ρ</m:t>
              </m:r>
            </m:oMath>
            <w:r>
              <w:rPr>
                <w:rFonts w:ascii="Georgia" w:hAnsi="Georgia"/>
                <w:sz w:val="20"/>
              </w:rPr>
              <w:t xml:space="preserve"> </w:t>
            </w:r>
            <w:r>
              <w:rPr>
                <w:rFonts w:ascii="Georgia" w:hAnsi="Georgia"/>
                <w:sz w:val="20"/>
              </w:rPr>
              <w:t xml:space="preserve">= +0.41</w:t>
            </w:r>
          </w:p>
        </w:tc>
      </w:tr>
    </w:tbl>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pStyle w:val="BodyText"/>
        <w:jc w:val="center"/>
        <w:keepNext/>
        <w:keepLines/>
        <w:widowControl w:val="1"/>
      </w:pPr>
      <w:r>
        <w:drawing>
          <wp:inline>
            <wp:extent cx="3108960" cy="2611526"/>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3108960" cy="2611526"/>
                    </a:xfrm>
                    <a:prstGeom prst="rect">
                      <a:avLst/>
                    </a:prstGeom>
                    <a:noFill/>
                    <a:ln w="9525">
                      <a:noFill/>
                      <a:headEnd/>
                      <a:tailEnd/>
                    </a:ln>
                  </pic:spPr>
                </pic:pic>
              </a:graphicData>
            </a:graphic>
          </wp:inline>
        </w:drawing>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ImageCaption"/>
        <w:spacing w:before="80" w:after="120" w:line="240" w:lineRule="auto"/>
        <w:jc w:val="center"/>
        <w:keepNext w:val="0"/>
        <w:keepLines/>
        <w:widowControl w:val="1"/>
      </w:pPr>
      <w:r>
        <w:rPr>
          <w:b/>
          <w:i/>
        </w:rPr>
        <w:t>Figure 3.</w:t>
      </w:r>
      <w:r>
        <w:rPr>
          <w:b w:val="0"/>
          <w:i/>
        </w:rPr>
        <w:t xml:space="preserve"> </w:t>
      </w:r>
      <w:r>
        <w:rPr>
          <w:b w:val="0"/>
          <w:i/>
        </w:rPr>
        <w:t>Effect of manipulating each skill's competence (columns) on each skill's grade (rows). Each cell is the grade change (strong minus weak) on the 3-point scale (A=3, B=2, C=1); warmer cells are larger positive effects. The diagonal (own-skill effect) dominates; off-diagonal (cross-skill) effects are near zero.</w:t>
      </w:r>
    </w:p>
    <w:p>
      <w:pPr>
        <w:pStyle w:val="BodyText"/>
        <w:jc w:val="center"/>
        <w:keepNext/>
        <w:keepLines/>
        <w:widowControl w:val="1"/>
      </w:pPr>
      <w:r>
        <w:drawing>
          <wp:inline>
            <wp:extent cx="6400800" cy="3556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6400800" cy="3556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Mean per-skill grade for five competence profiles. Judging reaches A only when judging is strong, regardless of framing or steering; each skill responds to its own competence.</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10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10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4" w:name="Xa46466f38120f8ee74cb65c819a5bdd7729dab3"/>
    <w:p>
      <w:pPr>
        <w:pStyle w:val="Heading2"/>
        <w:keepNext/>
        <w:keepLines/>
        <w:widowControl w:val="1"/>
      </w:pPr>
      <w:r>
        <w:t xml:space="preserve">9. Tensions and boundary conditions</w:t>
      </w:r>
    </w:p>
    <w:p>
      <w:pPr>
        <w:pStyle w:val="FirstParagraph"/>
        <w:jc w:val="both"/>
        <w:keepNext w:val="0"/>
        <w:keepLines w:val="0"/>
        <w:widowControl w:val="1"/>
      </w:pPr>
      <w:r>
        <w:t xml:space="preserve">A mature account must confront four tensions rather than paper over them.</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CoReasoning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10.</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ba3f6dd9d03393d7b20e910759a94d79249c978"/>
    <w:p>
      <w:pPr>
        <w:pStyle w:val="Heading2"/>
        <w:keepNext/>
        <w:keepLines/>
        <w:widowControl w:val="1"/>
      </w:pPr>
      <w:r>
        <w:t xml:space="preserve">10.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5"/>
    <w:bookmarkStart w:id="36" w:name="Xd9958a5808c799d638099c5f014583a644a871b"/>
    <w:p>
      <w:pPr>
        <w:pStyle w:val="Heading2"/>
        <w:keepNext/>
        <w:keepLines/>
        <w:widowControl w:val="1"/>
      </w:pPr>
      <w:r>
        <w:t xml:space="preserve">11. Scope and boundary conditions</w:t>
      </w:r>
    </w:p>
    <w:p>
      <w:pPr>
        <w:pStyle w:val="FirstParagraph"/>
        <w:jc w:val="both"/>
        <w:keepNext w:val="0"/>
        <w:keepLines w:val="0"/>
        <w:widowControl w:val="1"/>
      </w:pPr>
      <w:r>
        <w:t xml:space="preserve">This is a conceptual contribution with a proof-of-concept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10.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10).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10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6"/>
    <w:bookmarkStart w:id="37" w:name="X5947723a0a79e017d648ec5789efc916be82fa3"/>
    <w:p>
      <w:pPr>
        <w:pStyle w:val="Heading2"/>
        <w:keepNext/>
        <w:keepLines/>
        <w:widowControl w:val="1"/>
      </w:pPr>
      <w:r>
        <w:t xml:space="preserve">12.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CoReasoning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7"/>
    <w:bookmarkStart w:id="47"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 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pStyle w:val="BodyText"/>
        <w:jc w:val="center"/>
        <w:keepNext/>
        <w:keepLines/>
        <w:widowControl w:val="1"/>
      </w:pPr>
      <w:r>
        <w:drawing>
          <wp:inline>
            <wp:extent cx="3108960" cy="2503554"/>
            <wp:effectExtent b="0" l="0" r="0" t="0"/>
            <wp:docPr descr="Figure A1. A CoReasoning Lab challenge run." title="" id="39" name="Picture"/>
            <a:graphic>
              <a:graphicData uri="http://schemas.openxmlformats.org/drawingml/2006/picture">
                <pic:pic>
                  <pic:nvPicPr>
                    <pic:cNvPr descr="assets/system-challenge-run.png" id="40" name="Picture"/>
                    <pic:cNvPicPr>
                      <a:picLocks noChangeArrowheads="1" noChangeAspect="1"/>
                    </pic:cNvPicPr>
                  </pic:nvPicPr>
                  <pic:blipFill>
                    <a:blip r:embed="rId38"/>
                    <a:stretch>
                      <a:fillRect/>
                    </a:stretch>
                  </pic:blipFill>
                  <pic:spPr bwMode="auto">
                    <a:xfrm>
                      <a:off x="0" y="0"/>
                      <a:ext cx="3108960" cy="25035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Screenshot of the running platform: a learner's challenge run at the Framing phase. The engine has generated an ill-defined problem (here, an AI hiring-screening task), and the learner specifies refinements before any solution is produced. The two-phase structure is explicit in the interface, Phase 1 (Framing) and Phase 2 (the Judge-Steer cycle), and each skill is scored and given feedback independently.</w:t>
      </w: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pStyle w:val="BodyText"/>
        <w:jc w:val="center"/>
        <w:keepNext/>
        <w:keepLines/>
        <w:widowControl w:val="1"/>
      </w:pPr>
      <w:r>
        <w:drawing>
          <wp:inline>
            <wp:extent cx="3108960" cy="2308167"/>
            <wp:effectExtent b="0" l="0" r="0" t="0"/>
            <wp:docPr descr="Figure A2. CoReasoning Lab instructor course analytics." title="" id="42" name="Picture"/>
            <a:graphic>
              <a:graphicData uri="http://schemas.openxmlformats.org/drawingml/2006/picture">
                <pic:pic>
                  <pic:nvPicPr>
                    <pic:cNvPr descr="assets/system-instructor-analytics.png" id="43" name="Picture"/>
                    <pic:cNvPicPr>
                      <a:picLocks noChangeArrowheads="1" noChangeAspect="1"/>
                    </pic:cNvPicPr>
                  </pic:nvPicPr>
                  <pic:blipFill>
                    <a:blip r:embed="rId41"/>
                    <a:stretch>
                      <a:fillRect/>
                    </a:stretch>
                  </pic:blipFill>
                  <pic:spPr bwMode="auto">
                    <a:xfrm>
                      <a:off x="0" y="0"/>
                      <a:ext cx="3108960" cy="2308167"/>
                    </a:xfrm>
                    <a:prstGeom prst="rect">
                      <a:avLst/>
                    </a:prstGeom>
                    <a:noFill/>
                    <a:ln w="9525">
                      <a:noFill/>
                      <a:headEnd/>
                      <a:tailEnd/>
                    </a:ln>
                  </pic:spPr>
                </pic:pic>
              </a:graphicData>
            </a:graphic>
          </wp:inline>
        </w:drawing>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ImageCaption"/>
        <w:spacing w:before="80" w:after="120" w:line="240" w:lineRule="auto"/>
        <w:jc w:val="center"/>
        <w:keepNext w:val="0"/>
        <w:keepLines/>
        <w:widowControl w:val="1"/>
      </w:pPr>
      <w:r>
        <w:rPr>
          <w:b/>
          <w:i/>
        </w:rPr>
        <w:t>Figure A2.</w:t>
      </w:r>
      <w:r>
        <w:rPr>
          <w:b w:val="0"/>
          <w:i/>
        </w:rPr>
        <w:t xml:space="preserve"> </w:t>
      </w:r>
      <w:r>
        <w:rPr>
          <w:b w:val="0"/>
          <w:i/>
        </w:rPr>
        <w:t>Screenshot of the running platform: the instructor course-analytics view. Grade distribution is broken out into separate Framing, Judging, and Steering panels, and the per-student results list the three skills as distinct columns, the interface-level expression of the framework's central claim that productive AI use is not one skill but three.</w:t>
      </w:r>
    </w:p>
    <w:p>
      <w:pPr>
        <w:pStyle w:val="BodyText"/>
        <w:jc w:val="center"/>
        <w:keepNext/>
        <w:keepLines/>
        <w:widowControl w:val="1"/>
      </w:pPr>
      <w:r>
        <w:drawing>
          <wp:inline>
            <wp:extent cx="6400800" cy="4310742"/>
            <wp:effectExtent b="0" l="0" r="0" t="0"/>
            <wp:docPr descr="Figure A3. Auto-generation and assessment pipeline of the CoReasoning Lab engine." title="" id="45" name="Picture"/>
            <a:graphic>
              <a:graphicData uri="http://schemas.openxmlformats.org/drawingml/2006/picture">
                <pic:pic>
                  <pic:nvPicPr>
                    <pic:cNvPr descr="C:/Users/apart/AppData/Local/Temp/html2doc_svg_7WxKQ8/svg_2.png" id="46" name="Picture"/>
                    <pic:cNvPicPr>
                      <a:picLocks noChangeArrowheads="1" noChangeAspect="1"/>
                    </pic:cNvPicPr>
                  </pic:nvPicPr>
                  <pic:blipFill>
                    <a:blip r:embed="rId44"/>
                    <a:stretch>
                      <a:fillRect/>
                    </a:stretch>
                  </pic:blipFill>
                  <pic:spPr bwMode="auto">
                    <a:xfrm>
                      <a:off x="0" y="0"/>
                      <a:ext cx="6400800" cy="431074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The sixteen-prompt engine in two phases. In authoring, the instructor names a subject and the engine generates the ill-defined problem (prompt 01), three per-skill rubrics and a gold framing (02, 14), and a deliberately flawed AI solution carrying seeded issues (03). In assessment, each learner response is scored against a different referent: Framing against the gold framing and rubric (08), Judging against the seeded issues (09), and Steering against the corrected trajectory after the output is re-run (04, 10); a single grader prompt (11) then assigns each skill its own grade, and the three feed the per-student report and course analytics. Because the three evaluation prompts interrogate different referents, the grades are produced independently rather than as one global impression.</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47"/>
    <w:bookmarkStart w:id="48"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10).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10 specifies.</w:t>
      </w:r>
    </w:p>
    <w:bookmarkEnd w:id="48"/>
    <w:bookmarkStart w:id="49"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 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pStyle w:val="TableCaption"/>
        <w:spacing w:before="240" w:after="60" w:line="240" w:lineRule="auto"/>
        <w:jc w:val="center"/>
        <w:keepNext/>
        <w:keepLines/>
        <w:widowControl w:val="1"/>
      </w:pPr>
      <w:r>
        <w:rPr>
          <w:b/>
          <w:i/>
        </w:rPr>
        <w:t>Table C1.</w:t>
      </w:r>
      <w:r>
        <w:rPr>
          <w:b w:val="0"/>
          <w:i/>
        </w:rPr>
        <w:t xml:space="preserve"> </w:t>
      </w:r>
      <w:r>
        <w:rPr>
          <w:b w:val="0"/>
          <w:i/>
        </w:rPr>
        <w:t>Disciplines covered by the released challenge content.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Area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Disciplines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STEM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Social sciences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Economics (microeconomics); Political Science (international relations); Psychology (cognitive psychology)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Humanities and law</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Philosophy (applied ethics); Law (constitutional law)</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Professional and education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Business (organizational behavior); Education (educational technology)</w:t>
            </w:r>
          </w:p>
        </w:tc>
      </w:tr>
    </w:tbl>
    <w:p>
      <w:pPr>
        <w:pStyle w:val="BodyText"/>
        <w:spacing w:before="200"/>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ind w:left="360" w:hanging="259"/>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ind w:left="360" w:hanging="259"/>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ind w:left="360" w:hanging="259"/>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ind w:left="360" w:hanging="259"/>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49"/>
    <w:bookmarkStart w:id="50" w:name="references"/>
    <w:p>
      <w:pPr>
        <w:pStyle w:val="ReferencesHeading"/>
        <w:jc w:val="left"/>
        <w:keepNext/>
        <w:keepLines/>
        <w:widowControl w:val="1"/>
      </w:pPr>
      <w:r>
        <w:t xml:space="preserve">References</w:t>
      </w:r>
    </w:p>
    <w:p>
      <w:pPr>
        <w:pStyle w:val="ReferenceEntry"/>
        <w:spacing w:after="60"/>
        <w:ind w:left="403" w:hanging="403"/>
        <w:jc w:val="left"/>
        <w:keepNext w:val="0"/>
        <w:keepLines w:val="0"/>
        <w:widowControl w:val="1"/>
      </w:pPr>
      <w:r>
        <w:rPr>
          <w:rFonts w:ascii="Georgia" w:hAnsi="Georgia"/>
          <w:sz w:val="18"/>
        </w:rPr>
        <w:t xml:space="preserve">1. </w:t>
      </w:r>
      <w:r>
        <w:t xml:space="preserve">Acar, O. A. (2023). AI Prompt Engineering Isn't the Future.</w:t>
      </w:r>
      <w:r>
        <w:t xml:space="preserve"> </w:t>
      </w:r>
      <w:r>
        <w:rPr>
          <w:i/>
          <w:iCs/>
        </w:rPr>
        <w:t xml:space="preserve">Harvard Business Review, June 6</w:t>
      </w:r>
      <w:r>
        <w:t xml:space="preserve">.</w:t>
      </w:r>
    </w:p>
    <w:p>
      <w:pPr>
        <w:pStyle w:val="ReferenceEntry"/>
        <w:spacing w:after="60"/>
        <w:ind w:left="403" w:hanging="403"/>
        <w:jc w:val="left"/>
        <w:keepNext w:val="0"/>
        <w:keepLines w:val="0"/>
        <w:widowControl w:val="1"/>
      </w:pPr>
      <w:r>
        <w:rPr>
          <w:rFonts w:ascii="Georgia" w:hAnsi="Georgia"/>
          <w:sz w:val="18"/>
        </w:rPr>
        <w:t xml:space="preserve">2. </w:t>
      </w: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spacing w:after="60"/>
        <w:ind w:left="403" w:hanging="403"/>
        <w:jc w:val="left"/>
        <w:keepNext w:val="0"/>
        <w:keepLines w:val="0"/>
        <w:widowControl w:val="1"/>
      </w:pPr>
      <w:r>
        <w:rPr>
          <w:rFonts w:ascii="Georgia" w:hAnsi="Georgia"/>
          <w:sz w:val="18"/>
        </w:rPr>
        <w:t xml:space="preserve">3. </w:t>
      </w: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spacing w:after="60"/>
        <w:ind w:left="403" w:hanging="403"/>
        <w:jc w:val="left"/>
        <w:keepNext w:val="0"/>
        <w:keepLines w:val="0"/>
        <w:widowControl w:val="1"/>
      </w:pPr>
      <w:r>
        <w:rPr>
          <w:rFonts w:ascii="Georgia" w:hAnsi="Georgia"/>
          <w:sz w:val="18"/>
        </w:rPr>
        <w:t xml:space="preserve">4. </w:t>
      </w: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18"/>
        </w:rPr>
        <w:t xml:space="preserve">5. </w:t>
      </w: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spacing w:after="60"/>
        <w:ind w:left="403" w:hanging="403"/>
        <w:jc w:val="left"/>
        <w:keepNext w:val="0"/>
        <w:keepLines w:val="0"/>
        <w:widowControl w:val="1"/>
      </w:pPr>
      <w:r>
        <w:rPr>
          <w:rFonts w:ascii="Georgia" w:hAnsi="Georgia"/>
          <w:sz w:val="18"/>
        </w:rPr>
        <w:t xml:space="preserve">6. </w:t>
      </w: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spacing w:after="60"/>
        <w:ind w:left="403" w:hanging="403"/>
        <w:jc w:val="left"/>
        <w:keepNext w:val="0"/>
        <w:keepLines w:val="0"/>
        <w:widowControl w:val="1"/>
      </w:pPr>
      <w:r>
        <w:rPr>
          <w:rFonts w:ascii="Georgia" w:hAnsi="Georgia"/>
          <w:sz w:val="18"/>
        </w:rPr>
        <w:t xml:space="preserve">7. </w:t>
      </w: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spacing w:after="60"/>
        <w:ind w:left="403" w:hanging="403"/>
        <w:jc w:val="left"/>
        <w:keepNext w:val="0"/>
        <w:keepLines w:val="0"/>
        <w:widowControl w:val="1"/>
      </w:pPr>
      <w:r>
        <w:rPr>
          <w:rFonts w:ascii="Georgia" w:hAnsi="Georgia"/>
          <w:sz w:val="18"/>
        </w:rPr>
        <w:t xml:space="preserve">8. </w:t>
      </w: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spacing w:after="60"/>
        <w:ind w:left="403" w:hanging="403"/>
        <w:jc w:val="left"/>
        <w:keepNext w:val="0"/>
        <w:keepLines w:val="0"/>
        <w:widowControl w:val="1"/>
      </w:pPr>
      <w:r>
        <w:rPr>
          <w:rFonts w:ascii="Georgia" w:hAnsi="Georgia"/>
          <w:sz w:val="18"/>
        </w:rPr>
        <w:t xml:space="preserve">9. </w:t>
      </w: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spacing w:after="60"/>
        <w:ind w:left="403" w:hanging="403"/>
        <w:jc w:val="left"/>
        <w:keepNext w:val="0"/>
        <w:keepLines w:val="0"/>
        <w:widowControl w:val="1"/>
      </w:pPr>
      <w:r>
        <w:rPr>
          <w:rFonts w:ascii="Georgia" w:hAnsi="Georgia"/>
          <w:sz w:val="18"/>
        </w:rPr>
        <w:t xml:space="preserve">10. </w:t>
      </w: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spacing w:after="60"/>
        <w:ind w:left="403" w:hanging="403"/>
        <w:jc w:val="left"/>
        <w:keepNext w:val="0"/>
        <w:keepLines w:val="0"/>
        <w:widowControl w:val="1"/>
      </w:pPr>
      <w:r>
        <w:rPr>
          <w:rFonts w:ascii="Georgia" w:hAnsi="Georgia"/>
          <w:sz w:val="18"/>
        </w:rPr>
        <w:t xml:space="preserve">11. </w:t>
      </w: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spacing w:after="60"/>
        <w:ind w:left="403" w:hanging="403"/>
        <w:jc w:val="left"/>
        <w:keepNext w:val="0"/>
        <w:keepLines w:val="0"/>
        <w:widowControl w:val="1"/>
      </w:pPr>
      <w:r>
        <w:rPr>
          <w:rFonts w:ascii="Georgia" w:hAnsi="Georgia"/>
          <w:sz w:val="18"/>
        </w:rPr>
        <w:t xml:space="preserve">12. </w:t>
      </w: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spacing w:after="60"/>
        <w:ind w:left="403" w:hanging="403"/>
        <w:jc w:val="left"/>
        <w:keepNext w:val="0"/>
        <w:keepLines w:val="0"/>
        <w:widowControl w:val="1"/>
      </w:pPr>
      <w:r>
        <w:rPr>
          <w:rFonts w:ascii="Georgia" w:hAnsi="Georgia"/>
          <w:sz w:val="18"/>
        </w:rPr>
        <w:t xml:space="preserve">13. </w:t>
      </w:r>
      <w:r>
        <w:t xml:space="preserve">Dakan, R., &amp; Feller, J. (2025). Framework for AI Fluency.</w:t>
      </w:r>
      <w:r>
        <w:t xml:space="preserve"> </w:t>
      </w:r>
      <w:r>
        <w:rPr>
          <w:i/>
          <w:iCs/>
        </w:rPr>
        <w:t xml:space="preserve">Anthropic</w:t>
      </w:r>
      <w:r>
        <w:t xml:space="preserve">.</w:t>
      </w:r>
    </w:p>
    <w:p>
      <w:pPr>
        <w:pStyle w:val="ReferenceEntry"/>
        <w:spacing w:after="60"/>
        <w:ind w:left="403" w:hanging="403"/>
        <w:jc w:val="left"/>
        <w:keepNext w:val="0"/>
        <w:keepLines w:val="0"/>
        <w:widowControl w:val="1"/>
      </w:pPr>
      <w:r>
        <w:rPr>
          <w:rFonts w:ascii="Georgia" w:hAnsi="Georgia"/>
          <w:sz w:val="18"/>
        </w:rPr>
        <w:t xml:space="preserve">14. </w:t>
      </w: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spacing w:after="60"/>
        <w:ind w:left="403" w:hanging="403"/>
        <w:jc w:val="left"/>
        <w:keepNext w:val="0"/>
        <w:keepLines w:val="0"/>
        <w:widowControl w:val="1"/>
      </w:pPr>
      <w:r>
        <w:rPr>
          <w:rFonts w:ascii="Georgia" w:hAnsi="Georgia"/>
          <w:sz w:val="18"/>
        </w:rPr>
        <w:t xml:space="preserve">15. </w:t>
      </w: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spacing w:after="60"/>
        <w:ind w:left="403" w:hanging="403"/>
        <w:jc w:val="left"/>
        <w:keepNext w:val="0"/>
        <w:keepLines w:val="0"/>
        <w:widowControl w:val="1"/>
      </w:pPr>
      <w:r>
        <w:rPr>
          <w:rFonts w:ascii="Georgia" w:hAnsi="Georgia"/>
          <w:sz w:val="18"/>
        </w:rPr>
        <w:t xml:space="preserve">16. </w:t>
      </w: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spacing w:after="60"/>
        <w:ind w:left="403" w:hanging="403"/>
        <w:jc w:val="left"/>
        <w:keepNext w:val="0"/>
        <w:keepLines w:val="0"/>
        <w:widowControl w:val="1"/>
      </w:pPr>
      <w:r>
        <w:rPr>
          <w:rFonts w:ascii="Georgia" w:hAnsi="Georgia"/>
          <w:sz w:val="18"/>
        </w:rPr>
        <w:t xml:space="preserve">17. </w:t>
      </w: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spacing w:after="60"/>
        <w:ind w:left="403" w:hanging="403"/>
        <w:jc w:val="left"/>
        <w:keepNext w:val="0"/>
        <w:keepLines w:val="0"/>
        <w:widowControl w:val="1"/>
      </w:pPr>
      <w:r>
        <w:rPr>
          <w:rFonts w:ascii="Georgia" w:hAnsi="Georgia"/>
          <w:sz w:val="18"/>
        </w:rPr>
        <w:t xml:space="preserve">18. </w:t>
      </w: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spacing w:after="60"/>
        <w:ind w:left="403" w:hanging="403"/>
        <w:jc w:val="left"/>
        <w:keepNext w:val="0"/>
        <w:keepLines w:val="0"/>
        <w:widowControl w:val="1"/>
      </w:pPr>
      <w:r>
        <w:rPr>
          <w:rFonts w:ascii="Georgia" w:hAnsi="Georgia"/>
          <w:sz w:val="18"/>
        </w:rPr>
        <w:t xml:space="preserve">19. </w:t>
      </w: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spacing w:after="60"/>
        <w:ind w:left="403" w:hanging="403"/>
        <w:jc w:val="left"/>
        <w:keepNext w:val="0"/>
        <w:keepLines w:val="0"/>
        <w:widowControl w:val="1"/>
      </w:pPr>
      <w:r>
        <w:rPr>
          <w:rFonts w:ascii="Georgia" w:hAnsi="Georgia"/>
          <w:sz w:val="18"/>
        </w:rPr>
        <w:t xml:space="preserve">20. </w:t>
      </w: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spacing w:after="60"/>
        <w:ind w:left="403" w:hanging="403"/>
        <w:jc w:val="left"/>
        <w:keepNext w:val="0"/>
        <w:keepLines w:val="0"/>
        <w:widowControl w:val="1"/>
      </w:pPr>
      <w:r>
        <w:rPr>
          <w:rFonts w:ascii="Georgia" w:hAnsi="Georgia"/>
          <w:sz w:val="18"/>
        </w:rPr>
        <w:t xml:space="preserve">21. </w:t>
      </w: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spacing w:after="60"/>
        <w:ind w:left="403" w:hanging="403"/>
        <w:jc w:val="left"/>
        <w:keepNext w:val="0"/>
        <w:keepLines w:val="0"/>
        <w:widowControl w:val="1"/>
      </w:pPr>
      <w:r>
        <w:rPr>
          <w:rFonts w:ascii="Georgia" w:hAnsi="Georgia"/>
          <w:sz w:val="18"/>
        </w:rPr>
        <w:t xml:space="preserve">22. </w:t>
      </w: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spacing w:after="60"/>
        <w:ind w:left="403" w:hanging="403"/>
        <w:jc w:val="left"/>
        <w:keepNext w:val="0"/>
        <w:keepLines w:val="0"/>
        <w:widowControl w:val="1"/>
      </w:pPr>
      <w:r>
        <w:rPr>
          <w:rFonts w:ascii="Georgia" w:hAnsi="Georgia"/>
          <w:sz w:val="18"/>
        </w:rPr>
        <w:t xml:space="preserve">23. </w:t>
      </w: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spacing w:after="60"/>
        <w:ind w:left="403" w:hanging="403"/>
        <w:jc w:val="left"/>
        <w:keepNext w:val="0"/>
        <w:keepLines w:val="0"/>
        <w:widowControl w:val="1"/>
      </w:pPr>
      <w:r>
        <w:rPr>
          <w:rFonts w:ascii="Georgia" w:hAnsi="Georgia"/>
          <w:sz w:val="18"/>
        </w:rPr>
        <w:t xml:space="preserve">24. </w:t>
      </w: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spacing w:after="60"/>
        <w:ind w:left="403" w:hanging="403"/>
        <w:jc w:val="left"/>
        <w:keepNext w:val="0"/>
        <w:keepLines w:val="0"/>
        <w:widowControl w:val="1"/>
      </w:pPr>
      <w:r>
        <w:rPr>
          <w:rFonts w:ascii="Georgia" w:hAnsi="Georgia"/>
          <w:sz w:val="18"/>
        </w:rPr>
        <w:t xml:space="preserve">25. </w:t>
      </w: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spacing w:after="60"/>
        <w:ind w:left="403" w:hanging="403"/>
        <w:jc w:val="left"/>
        <w:keepNext w:val="0"/>
        <w:keepLines w:val="0"/>
        <w:widowControl w:val="1"/>
      </w:pPr>
      <w:r>
        <w:rPr>
          <w:rFonts w:ascii="Georgia" w:hAnsi="Georgia"/>
          <w:sz w:val="18"/>
        </w:rPr>
        <w:t xml:space="preserve">26. </w:t>
      </w: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spacing w:after="60"/>
        <w:ind w:left="403" w:hanging="403"/>
        <w:jc w:val="left"/>
        <w:keepNext w:val="0"/>
        <w:keepLines w:val="0"/>
        <w:widowControl w:val="1"/>
      </w:pPr>
      <w:r>
        <w:rPr>
          <w:rFonts w:ascii="Georgia" w:hAnsi="Georgia"/>
          <w:sz w:val="18"/>
        </w:rPr>
        <w:t xml:space="preserve">27. </w:t>
      </w: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spacing w:after="60"/>
        <w:ind w:left="403" w:hanging="403"/>
        <w:jc w:val="left"/>
        <w:keepNext w:val="0"/>
        <w:keepLines w:val="0"/>
        <w:widowControl w:val="1"/>
      </w:pPr>
      <w:r>
        <w:rPr>
          <w:rFonts w:ascii="Georgia" w:hAnsi="Georgia"/>
          <w:sz w:val="18"/>
        </w:rPr>
        <w:t xml:space="preserve">28. </w:t>
      </w: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spacing w:after="60"/>
        <w:ind w:left="403" w:hanging="403"/>
        <w:jc w:val="left"/>
        <w:keepNext w:val="0"/>
        <w:keepLines w:val="0"/>
        <w:widowControl w:val="1"/>
      </w:pPr>
      <w:r>
        <w:rPr>
          <w:rFonts w:ascii="Georgia" w:hAnsi="Georgia"/>
          <w:sz w:val="18"/>
        </w:rPr>
        <w:t xml:space="preserve">29. </w:t>
      </w:r>
      <w:r>
        <w:t xml:space="preserve">Hattie, J., &amp; Timperley, H. (2007). The Power of Feedback.</w:t>
      </w:r>
      <w:r>
        <w:t xml:space="preserve"> </w:t>
      </w:r>
      <w:r>
        <w:rPr>
          <w:i/>
          <w:iCs/>
        </w:rPr>
        <w:t xml:space="preserve">Review of Educational Research</w:t>
      </w:r>
      <w:r>
        <w:t xml:space="preserve">, 77(1), 81–112.</w:t>
      </w:r>
    </w:p>
    <w:p>
      <w:pPr>
        <w:pStyle w:val="ReferenceEntry"/>
        <w:spacing w:after="60"/>
        <w:ind w:left="403" w:hanging="403"/>
        <w:jc w:val="left"/>
        <w:keepNext w:val="0"/>
        <w:keepLines w:val="0"/>
        <w:widowControl w:val="1"/>
      </w:pPr>
      <w:r>
        <w:rPr>
          <w:rFonts w:ascii="Georgia" w:hAnsi="Georgia"/>
          <w:sz w:val="18"/>
        </w:rPr>
        <w:t xml:space="preserve">30. </w:t>
      </w:r>
      <w:r>
        <w:t xml:space="preserve">Jaakkola, E. (2020). Designing Conceptual Articles: Four Approaches.</w:t>
      </w:r>
      <w:r>
        <w:t xml:space="preserve"> </w:t>
      </w:r>
      <w:r>
        <w:rPr>
          <w:i/>
          <w:iCs/>
        </w:rPr>
        <w:t xml:space="preserve">AMS Review</w:t>
      </w:r>
      <w:r>
        <w:t xml:space="preserve">, 10, 18–26.</w:t>
      </w:r>
    </w:p>
    <w:p>
      <w:pPr>
        <w:pStyle w:val="ReferenceEntry"/>
        <w:spacing w:after="60"/>
        <w:ind w:left="403" w:hanging="403"/>
        <w:jc w:val="left"/>
        <w:keepNext w:val="0"/>
        <w:keepLines w:val="0"/>
        <w:widowControl w:val="1"/>
      </w:pPr>
      <w:r>
        <w:rPr>
          <w:rFonts w:ascii="Georgia" w:hAnsi="Georgia"/>
          <w:sz w:val="18"/>
        </w:rPr>
        <w:t xml:space="preserve">31. </w:t>
      </w: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spacing w:after="60"/>
        <w:ind w:left="403" w:hanging="403"/>
        <w:jc w:val="left"/>
        <w:keepNext w:val="0"/>
        <w:keepLines w:val="0"/>
        <w:widowControl w:val="1"/>
      </w:pPr>
      <w:r>
        <w:rPr>
          <w:rFonts w:ascii="Georgia" w:hAnsi="Georgia"/>
          <w:sz w:val="18"/>
        </w:rPr>
        <w:t xml:space="preserve">32. </w:t>
      </w: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spacing w:after="60"/>
        <w:ind w:left="403" w:hanging="403"/>
        <w:jc w:val="left"/>
        <w:keepNext w:val="0"/>
        <w:keepLines w:val="0"/>
        <w:widowControl w:val="1"/>
      </w:pPr>
      <w:r>
        <w:rPr>
          <w:rFonts w:ascii="Georgia" w:hAnsi="Georgia"/>
          <w:sz w:val="18"/>
        </w:rPr>
        <w:t xml:space="preserve">33. </w:t>
      </w:r>
      <w:r>
        <w:t xml:space="preserve">Kapur, M. (2008). Productive Failure.</w:t>
      </w:r>
      <w:r>
        <w:t xml:space="preserve"> </w:t>
      </w:r>
      <w:r>
        <w:rPr>
          <w:i/>
          <w:iCs/>
        </w:rPr>
        <w:t xml:space="preserve">Cognition and Instruction</w:t>
      </w:r>
      <w:r>
        <w:t xml:space="preserve">, 26(3), 379–424.</w:t>
      </w:r>
    </w:p>
    <w:p>
      <w:pPr>
        <w:pStyle w:val="ReferenceEntry"/>
        <w:spacing w:after="60"/>
        <w:ind w:left="403" w:hanging="403"/>
        <w:jc w:val="left"/>
        <w:keepNext w:val="0"/>
        <w:keepLines w:val="0"/>
        <w:widowControl w:val="1"/>
      </w:pPr>
      <w:r>
        <w:rPr>
          <w:rFonts w:ascii="Georgia" w:hAnsi="Georgia"/>
          <w:sz w:val="18"/>
        </w:rPr>
        <w:t xml:space="preserve">34. </w:t>
      </w: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spacing w:after="60"/>
        <w:ind w:left="403" w:hanging="403"/>
        <w:jc w:val="left"/>
        <w:keepNext w:val="0"/>
        <w:keepLines w:val="0"/>
        <w:widowControl w:val="1"/>
      </w:pPr>
      <w:r>
        <w:rPr>
          <w:rFonts w:ascii="Georgia" w:hAnsi="Georgia"/>
          <w:sz w:val="18"/>
        </w:rPr>
        <w:t xml:space="preserve">35. </w:t>
      </w: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spacing w:after="60"/>
        <w:ind w:left="403" w:hanging="403"/>
        <w:jc w:val="left"/>
        <w:keepNext w:val="0"/>
        <w:keepLines w:val="0"/>
        <w:widowControl w:val="1"/>
      </w:pPr>
      <w:r>
        <w:rPr>
          <w:rFonts w:ascii="Georgia" w:hAnsi="Georgia"/>
          <w:sz w:val="18"/>
        </w:rPr>
        <w:t xml:space="preserve">36. </w:t>
      </w: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spacing w:after="60"/>
        <w:ind w:left="403" w:hanging="403"/>
        <w:jc w:val="left"/>
        <w:keepNext w:val="0"/>
        <w:keepLines w:val="0"/>
        <w:widowControl w:val="1"/>
      </w:pPr>
      <w:r>
        <w:rPr>
          <w:rFonts w:ascii="Georgia" w:hAnsi="Georgia"/>
          <w:sz w:val="18"/>
        </w:rPr>
        <w:t xml:space="preserve">37. </w:t>
      </w:r>
      <w:r>
        <w:t xml:space="preserve">Lee, J. D., &amp; See, K. A. (2004). Trust in Automation: Designing for Appropriate Reliance.</w:t>
      </w:r>
      <w:r>
        <w:t xml:space="preserve"> </w:t>
      </w:r>
      <w:r>
        <w:rPr>
          <w:i/>
          <w:iCs/>
        </w:rPr>
        <w:t xml:space="preserve">Human Factors</w:t>
      </w:r>
      <w:r>
        <w:t xml:space="preserve">, 46(1), 50–80.</w:t>
      </w:r>
    </w:p>
    <w:p>
      <w:pPr>
        <w:pStyle w:val="ReferenceEntry"/>
        <w:spacing w:after="60"/>
        <w:ind w:left="403" w:hanging="403"/>
        <w:jc w:val="left"/>
        <w:keepNext w:val="0"/>
        <w:keepLines w:val="0"/>
        <w:widowControl w:val="1"/>
      </w:pPr>
      <w:r>
        <w:rPr>
          <w:rFonts w:ascii="Georgia" w:hAnsi="Georgia"/>
          <w:sz w:val="18"/>
        </w:rPr>
        <w:t xml:space="preserve">38. </w:t>
      </w: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spacing w:after="60"/>
        <w:ind w:left="403" w:hanging="403"/>
        <w:jc w:val="left"/>
        <w:keepNext w:val="0"/>
        <w:keepLines w:val="0"/>
        <w:widowControl w:val="1"/>
      </w:pPr>
      <w:r>
        <w:rPr>
          <w:rFonts w:ascii="Georgia" w:hAnsi="Georgia"/>
          <w:sz w:val="18"/>
        </w:rPr>
        <w:t xml:space="preserve">39. </w:t>
      </w: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spacing w:after="60"/>
        <w:ind w:left="403" w:hanging="403"/>
        <w:jc w:val="left"/>
        <w:keepNext w:val="0"/>
        <w:keepLines w:val="0"/>
        <w:widowControl w:val="1"/>
      </w:pPr>
      <w:r>
        <w:rPr>
          <w:rFonts w:ascii="Georgia" w:hAnsi="Georgia"/>
          <w:sz w:val="18"/>
        </w:rPr>
        <w:t xml:space="preserve">40. </w:t>
      </w: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spacing w:after="60"/>
        <w:ind w:left="403" w:hanging="403"/>
        <w:jc w:val="left"/>
        <w:keepNext w:val="0"/>
        <w:keepLines w:val="0"/>
        <w:widowControl w:val="1"/>
      </w:pPr>
      <w:r>
        <w:rPr>
          <w:rFonts w:ascii="Georgia" w:hAnsi="Georgia"/>
          <w:sz w:val="18"/>
        </w:rPr>
        <w:t xml:space="preserve">41. </w:t>
      </w: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spacing w:after="60"/>
        <w:ind w:left="403" w:hanging="403"/>
        <w:jc w:val="left"/>
        <w:keepNext w:val="0"/>
        <w:keepLines w:val="0"/>
        <w:widowControl w:val="1"/>
      </w:pPr>
      <w:r>
        <w:rPr>
          <w:rFonts w:ascii="Georgia" w:hAnsi="Georgia"/>
          <w:sz w:val="18"/>
        </w:rPr>
        <w:t xml:space="preserve">42. </w:t>
      </w: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spacing w:after="60"/>
        <w:ind w:left="403" w:hanging="403"/>
        <w:jc w:val="left"/>
        <w:keepNext w:val="0"/>
        <w:keepLines w:val="0"/>
        <w:widowControl w:val="1"/>
      </w:pPr>
      <w:r>
        <w:rPr>
          <w:rFonts w:ascii="Georgia" w:hAnsi="Georgia"/>
          <w:sz w:val="18"/>
        </w:rPr>
        <w:t xml:space="preserve">43. </w:t>
      </w: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spacing w:after="60"/>
        <w:ind w:left="403" w:hanging="403"/>
        <w:jc w:val="left"/>
        <w:keepNext w:val="0"/>
        <w:keepLines w:val="0"/>
        <w:widowControl w:val="1"/>
      </w:pPr>
      <w:r>
        <w:rPr>
          <w:rFonts w:ascii="Georgia" w:hAnsi="Georgia"/>
          <w:sz w:val="18"/>
        </w:rPr>
        <w:t xml:space="preserve">44. </w:t>
      </w: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spacing w:after="60"/>
        <w:ind w:left="403" w:hanging="403"/>
        <w:jc w:val="left"/>
        <w:keepNext w:val="0"/>
        <w:keepLines w:val="0"/>
        <w:widowControl w:val="1"/>
      </w:pPr>
      <w:r>
        <w:rPr>
          <w:rFonts w:ascii="Georgia" w:hAnsi="Georgia"/>
          <w:sz w:val="18"/>
        </w:rPr>
        <w:t xml:space="preserve">45. </w:t>
      </w: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spacing w:after="60"/>
        <w:ind w:left="403" w:hanging="403"/>
        <w:jc w:val="left"/>
        <w:keepNext w:val="0"/>
        <w:keepLines w:val="0"/>
        <w:widowControl w:val="1"/>
      </w:pPr>
      <w:r>
        <w:rPr>
          <w:rFonts w:ascii="Georgia" w:hAnsi="Georgia"/>
          <w:sz w:val="18"/>
        </w:rPr>
        <w:t xml:space="preserve">46. </w:t>
      </w: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spacing w:after="60"/>
        <w:ind w:left="403" w:hanging="403"/>
        <w:jc w:val="left"/>
        <w:keepNext w:val="0"/>
        <w:keepLines w:val="0"/>
        <w:widowControl w:val="1"/>
      </w:pPr>
      <w:r>
        <w:rPr>
          <w:rFonts w:ascii="Georgia" w:hAnsi="Georgia"/>
          <w:sz w:val="18"/>
        </w:rPr>
        <w:t xml:space="preserve">47. </w:t>
      </w: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spacing w:after="60"/>
        <w:ind w:left="403" w:hanging="403"/>
        <w:jc w:val="left"/>
        <w:keepNext w:val="0"/>
        <w:keepLines w:val="0"/>
        <w:widowControl w:val="1"/>
      </w:pPr>
      <w:r>
        <w:rPr>
          <w:rFonts w:ascii="Georgia" w:hAnsi="Georgia"/>
          <w:sz w:val="18"/>
        </w:rPr>
        <w:t xml:space="preserve">48. </w:t>
      </w: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spacing w:after="60"/>
        <w:ind w:left="403" w:hanging="403"/>
        <w:jc w:val="left"/>
        <w:keepNext w:val="0"/>
        <w:keepLines w:val="0"/>
        <w:widowControl w:val="1"/>
      </w:pPr>
      <w:r>
        <w:rPr>
          <w:rFonts w:ascii="Georgia" w:hAnsi="Georgia"/>
          <w:sz w:val="18"/>
        </w:rPr>
        <w:t xml:space="preserve">49. </w:t>
      </w:r>
      <w:r>
        <w:t xml:space="preserve">Runco, M. A., &amp; Chand, I. (1995). Cognition and Creativity.</w:t>
      </w:r>
      <w:r>
        <w:t xml:space="preserve"> </w:t>
      </w:r>
      <w:r>
        <w:rPr>
          <w:i/>
          <w:iCs/>
        </w:rPr>
        <w:t xml:space="preserve">Educational Psychology Review</w:t>
      </w:r>
      <w:r>
        <w:t xml:space="preserve">, 7(3), 243–267.</w:t>
      </w:r>
    </w:p>
    <w:p>
      <w:pPr>
        <w:pStyle w:val="ReferenceEntry"/>
        <w:spacing w:after="60"/>
        <w:ind w:left="403" w:hanging="403"/>
        <w:jc w:val="left"/>
        <w:keepNext w:val="0"/>
        <w:keepLines w:val="0"/>
        <w:widowControl w:val="1"/>
      </w:pPr>
      <w:r>
        <w:rPr>
          <w:rFonts w:ascii="Georgia" w:hAnsi="Georgia"/>
          <w:sz w:val="18"/>
        </w:rPr>
        <w:t xml:space="preserve">50. </w:t>
      </w: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spacing w:after="60"/>
        <w:ind w:left="403" w:hanging="403"/>
        <w:jc w:val="left"/>
        <w:keepNext w:val="0"/>
        <w:keepLines w:val="0"/>
        <w:widowControl w:val="1"/>
      </w:pPr>
      <w:r>
        <w:rPr>
          <w:rFonts w:ascii="Georgia" w:hAnsi="Georgia"/>
          <w:sz w:val="18"/>
        </w:rPr>
        <w:t xml:space="preserve">51. </w:t>
      </w: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spacing w:after="60"/>
        <w:ind w:left="403" w:hanging="403"/>
        <w:jc w:val="left"/>
        <w:keepNext w:val="0"/>
        <w:keepLines w:val="0"/>
        <w:widowControl w:val="1"/>
      </w:pPr>
      <w:r>
        <w:rPr>
          <w:rFonts w:ascii="Georgia" w:hAnsi="Georgia"/>
          <w:sz w:val="18"/>
        </w:rPr>
        <w:t xml:space="preserve">52. </w:t>
      </w: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spacing w:after="60"/>
        <w:ind w:left="403" w:hanging="403"/>
        <w:jc w:val="left"/>
        <w:keepNext w:val="0"/>
        <w:keepLines w:val="0"/>
        <w:widowControl w:val="1"/>
      </w:pPr>
      <w:r>
        <w:rPr>
          <w:rFonts w:ascii="Georgia" w:hAnsi="Georgia"/>
          <w:sz w:val="18"/>
        </w:rPr>
        <w:t xml:space="preserve">53. </w:t>
      </w: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spacing w:after="60"/>
        <w:ind w:left="403" w:hanging="403"/>
        <w:jc w:val="left"/>
        <w:keepNext w:val="0"/>
        <w:keepLines w:val="0"/>
        <w:widowControl w:val="1"/>
      </w:pPr>
      <w:r>
        <w:rPr>
          <w:rFonts w:ascii="Georgia" w:hAnsi="Georgia"/>
          <w:sz w:val="18"/>
        </w:rPr>
        <w:t xml:space="preserve">54. </w:t>
      </w: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spacing w:after="60"/>
        <w:ind w:left="403" w:hanging="403"/>
        <w:jc w:val="left"/>
        <w:keepNext w:val="0"/>
        <w:keepLines w:val="0"/>
        <w:widowControl w:val="1"/>
      </w:pPr>
      <w:r>
        <w:rPr>
          <w:rFonts w:ascii="Georgia" w:hAnsi="Georgia"/>
          <w:sz w:val="18"/>
        </w:rPr>
        <w:t xml:space="preserve">55. </w:t>
      </w: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18"/>
        </w:rPr>
        <w:t xml:space="preserve">56. </w:t>
      </w: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spacing w:after="60"/>
        <w:ind w:left="403" w:hanging="403"/>
        <w:jc w:val="left"/>
        <w:keepNext w:val="0"/>
        <w:keepLines w:val="0"/>
        <w:widowControl w:val="1"/>
      </w:pPr>
      <w:r>
        <w:rPr>
          <w:rFonts w:ascii="Georgia" w:hAnsi="Georgia"/>
          <w:sz w:val="18"/>
        </w:rPr>
        <w:t xml:space="preserve">57. </w:t>
      </w: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spacing w:after="60"/>
        <w:ind w:left="403" w:hanging="403"/>
        <w:jc w:val="left"/>
        <w:keepNext w:val="0"/>
        <w:keepLines w:val="0"/>
        <w:widowControl w:val="1"/>
      </w:pPr>
      <w:r>
        <w:rPr>
          <w:rFonts w:ascii="Georgia" w:hAnsi="Georgia"/>
          <w:sz w:val="18"/>
        </w:rPr>
        <w:t xml:space="preserve">58. </w:t>
      </w:r>
      <w:r>
        <w:t xml:space="preserve">Vygotsky, L. S. (1978). Mind in Society: The Development of Higher Psychological Processes.</w:t>
      </w:r>
      <w:r>
        <w:t xml:space="preserve"> </w:t>
      </w:r>
      <w:r>
        <w:rPr>
          <w:i/>
          <w:iCs/>
        </w:rPr>
        <w:t xml:space="preserve">Harvard University Press</w:t>
      </w:r>
      <w:r>
        <w:t xml:space="preserve">.</w:t>
      </w:r>
    </w:p>
    <w:p>
      <w:pPr>
        <w:pStyle w:val="ReferenceEntry"/>
        <w:spacing w:after="60"/>
        <w:ind w:left="403" w:hanging="403"/>
        <w:jc w:val="left"/>
        <w:keepNext w:val="0"/>
        <w:keepLines w:val="0"/>
        <w:widowControl w:val="1"/>
      </w:pPr>
      <w:r>
        <w:rPr>
          <w:rFonts w:ascii="Georgia" w:hAnsi="Georgia"/>
          <w:sz w:val="18"/>
        </w:rPr>
        <w:t xml:space="preserve">59. </w:t>
      </w: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spacing w:after="60"/>
        <w:ind w:left="403" w:hanging="403"/>
        <w:jc w:val="left"/>
        <w:keepNext w:val="0"/>
        <w:keepLines w:val="0"/>
        <w:widowControl w:val="1"/>
      </w:pPr>
      <w:r>
        <w:rPr>
          <w:rFonts w:ascii="Georgia" w:hAnsi="Georgia"/>
          <w:sz w:val="18"/>
        </w:rPr>
        <w:t xml:space="preserve">60. </w:t>
      </w: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spacing w:after="60"/>
        <w:ind w:left="403" w:hanging="403"/>
        <w:jc w:val="left"/>
        <w:keepNext w:val="0"/>
        <w:keepLines w:val="0"/>
        <w:widowControl w:val="1"/>
      </w:pPr>
      <w:r>
        <w:rPr>
          <w:rFonts w:ascii="Georgia" w:hAnsi="Georgia"/>
          <w:sz w:val="18"/>
        </w:rPr>
        <w:t xml:space="preserve">61. </w:t>
      </w: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spacing w:after="60"/>
        <w:ind w:left="403" w:hanging="403"/>
        <w:jc w:val="left"/>
        <w:keepNext w:val="0"/>
        <w:keepLines w:val="0"/>
        <w:widowControl w:val="1"/>
      </w:pPr>
      <w:r>
        <w:rPr>
          <w:rFonts w:ascii="Georgia" w:hAnsi="Georgia"/>
          <w:sz w:val="18"/>
        </w:rPr>
        <w:t xml:space="preserve">62. </w:t>
      </w: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spacing w:after="60"/>
        <w:ind w:left="403" w:hanging="403"/>
        <w:jc w:val="left"/>
        <w:keepNext w:val="0"/>
        <w:keepLines w:val="0"/>
        <w:widowControl w:val="1"/>
      </w:pPr>
      <w:r>
        <w:rPr>
          <w:rFonts w:ascii="Georgia" w:hAnsi="Georgia"/>
          <w:sz w:val="18"/>
        </w:rPr>
        <w:t xml:space="preserve">63. </w:t>
      </w: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spacing w:after="60"/>
        <w:ind w:left="403" w:hanging="403"/>
        <w:jc w:val="left"/>
        <w:keepNext w:val="0"/>
        <w:keepLines w:val="0"/>
        <w:widowControl w:val="1"/>
      </w:pPr>
      <w:r>
        <w:rPr>
          <w:rFonts w:ascii="Georgia" w:hAnsi="Georgia"/>
          <w:sz w:val="18"/>
        </w:rPr>
        <w:t xml:space="preserve">64. </w:t>
      </w: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spacing w:after="60"/>
        <w:ind w:left="403" w:hanging="403"/>
        <w:jc w:val="left"/>
        <w:keepNext w:val="0"/>
        <w:keepLines w:val="0"/>
        <w:widowControl w:val="1"/>
      </w:pPr>
      <w:r>
        <w:rPr>
          <w:rFonts w:ascii="Georgia" w:hAnsi="Georgia"/>
          <w:sz w:val="18"/>
        </w:rPr>
        <w:t xml:space="preserve">65. </w:t>
      </w:r>
      <w:r>
        <w:t xml:space="preserve">Zimmerman, B. J. (2000). Attaining Self-Regulation: A Social Cognitive Perspective.</w:t>
      </w:r>
      <w:r>
        <w:t xml:space="preserve"> </w:t>
      </w:r>
      <w:r>
        <w:rPr>
          <w:i/>
          <w:iCs/>
        </w:rPr>
        <w:t xml:space="preserve">Handbook of Self-Regulation</w:t>
      </w:r>
      <w:r>
        <w:t xml:space="preserve">, 13–39.</w:t>
      </w:r>
    </w:p>
    <w:p>
      <w:pPr>
        <w:pStyle w:val="ReferenceEntry"/>
        <w:spacing w:after="60"/>
        <w:ind w:left="403" w:hanging="403"/>
        <w:jc w:val="left"/>
        <w:keepNext w:val="0"/>
        <w:keepLines w:val="0"/>
        <w:widowControl w:val="1"/>
      </w:pPr>
      <w:r>
        <w:rPr>
          <w:rFonts w:ascii="Georgia" w:hAnsi="Georgia"/>
          <w:sz w:val="18"/>
        </w:rPr>
        <w:t xml:space="preserve">66. </w:t>
      </w:r>
      <w:r>
        <w:t xml:space="preserve">UNESCO (2024). AI Competency Framework for Students.</w:t>
      </w:r>
      <w:r>
        <w:t xml:space="preserve"> </w:t>
      </w:r>
      <w:r>
        <w:rPr>
          <w:i/>
          <w:iCs/>
        </w:rPr>
        <w:t xml:space="preserve">UNESCO</w:t>
      </w:r>
      <w:r>
        <w:t xml:space="preserve">.</w:t>
      </w:r>
    </w:p>
    <w:bookmarkEnd w:id="50"/>
    <w:bookmarkEnd w:id="51"/>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288"/>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4" Type="http://schemas.openxmlformats.org/officeDocument/2006/relationships/image" Target="media/rId44.png"/><Relationship Id="rId30" Type="http://schemas.openxmlformats.org/officeDocument/2006/relationships/image" Target="media/rId30.png"/><Relationship Id="rId27" Type="http://schemas.openxmlformats.org/officeDocument/2006/relationships/image" Target="media/rId27.png"/><Relationship Id="rId38" Type="http://schemas.openxmlformats.org/officeDocument/2006/relationships/image" Target="media/rId38.png"/><Relationship Id="rId41" Type="http://schemas.openxmlformats.org/officeDocument/2006/relationships/image" Target="media/rId4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2026-06-03T09:37:54Z</dcterms:created>
  <dcterms:modified xsi:type="dcterms:W3CDTF">2026-06-03T09:37:54Z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