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2.svg" ContentType="image/svg+xml"/>
  <Override PartName="/word/media/rId35.svg" ContentType="image/svg+xml"/>
  <Override PartName="/word/media/rId3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skill's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The instrument, data, and a prepared human-rater validation protocol are publicly available.</w:t>
      </w:r>
    </w:p>
    <w:bookmarkEnd w:id="9"/>
    <w:bookmarkStart w:id="10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10"/>
    <w:bookmarkStart w:id="11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1"/>
    <w:bookmarkStart w:id="18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5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1. The CoReasoning architecture." title="" id="13" name="Picture"/>
            <a:graphic>
              <a:graphicData uri="http://schemas.openxmlformats.org/drawingml/2006/picture">
                <pic:pic>
                  <pic:nvPicPr>
                    <pic:cNvPr descr="assets/coreasoning-architecture.svg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5"/>
    <w:bookmarkStart w:id="16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6"/>
    <w:bookmarkStart w:id="17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17"/>
    <w:bookmarkEnd w:id="18"/>
    <w:bookmarkStart w:id="19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19"/>
    <w:bookmarkStart w:id="20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0"/>
    <w:bookmarkStart w:id="21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1"/>
    <w:bookmarkStart w:id="22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2"/>
    <w:bookmarkStart w:id="23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23"/>
    <w:bookmarkStart w:id="30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 "learners" 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skill's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skills' competence) averages</w:t>
      </w:r>
      <w:r>
        <w:t xml:space="preserve"> </w:t>
      </w:r>
      <w:r>
        <w:rPr>
          <w:b/>
          <w:bCs/>
        </w:rPr>
        <w:t xml:space="preserve">+0.01</w:t>
      </w:r>
      <w:r>
        <w:t xml:space="preserve">. Judging's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learner's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's grade." title="" id="25" name="Picture"/>
            <a:graphic>
              <a:graphicData uri="http://schemas.openxmlformats.org/drawingml/2006/picture">
                <pic:pic>
                  <pic:nvPicPr>
                    <pic:cNvPr descr="assets/fig_dissociation_heat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Effect of manipulating each skill's competence (columns) on each skill's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3. Per-skill grades dissociate by competence profile." title="" id="28" name="Picture"/>
            <a:graphic>
              <a:graphicData uri="http://schemas.openxmlformats.org/drawingml/2006/picture">
                <pic:pic>
                  <pic:nvPicPr>
                    <pic:cNvPr descr="assets/fig_contras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this weaker</w:t>
      </w:r>
      <w:r>
        <w:t xml:space="preserve"> </w:t>
      </w:r>
      <w:r>
        <w:t xml:space="preserve">grader Judging's own-effect falls from +2.00 to +0.65, comparable to Framing's own-effect under the</w:t>
      </w:r>
      <w:r>
        <w:t xml:space="preserve"> </w:t>
      </w:r>
      <w:r>
        <w:t xml:space="preserve">same grader (also +0.65), which confirms that the large +2.00 was specific to gpt-4o's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(Steering's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Judging's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Judging's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30"/>
    <w:bookmarkStart w:id="31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1"/>
    <w:bookmarkStart w:id="32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Cohen's</w:t>
      </w:r>
      <w:r>
        <w:t xml:space="preserve"> </w:t>
      </w:r>
      <m:oMath>
        <m:r>
          <m:t>κ</m:t>
        </m:r>
      </m:oMath>
      <w:r>
        <w:t xml:space="preserve">, Fleiss'</w:t>
      </w:r>
      <w:r>
        <w:t xml:space="preserve"> </w:t>
      </w:r>
      <m:oMath>
        <m:r>
          <m:t>κ</m:t>
        </m:r>
      </m:oMath>
      <w:r>
        <w:t xml:space="preserve">, and ordinal Krippendorff's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2"/>
    <w:bookmarkStart w:id="33" w:name="X3d190d206b9dddd8a7dadd6848a844299fab8ec"/>
    <w:p>
      <w:pPr>
        <w:pStyle w:val="Heading2"/>
        <w:keepNext/>
        <w:keepLines/>
        <w:widowControl w:val="1"/>
      </w:pPr>
      <w:r>
        <w:t xml:space="preserve">11.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prototype's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33"/>
    <w:bookmarkStart w:id="34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34"/>
    <w:bookmarkStart w:id="41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6" name="Picture"/>
            <a:graphic>
              <a:graphicData uri="http://schemas.openxmlformats.org/drawingml/2006/picture">
                <pic:pic>
                  <pic:nvPicPr>
                    <pic:cNvPr descr="assets/system-mockup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39" name="Picture"/>
            <a:graphic>
              <a:graphicData uri="http://schemas.openxmlformats.org/drawingml/2006/picture">
                <pic:pic>
                  <pic:nvPicPr>
                    <pic:cNvPr descr="assets/interface-gallery.svg" id="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1"/>
    <w:bookmarkStart w:id="4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2"/>
    <w:bookmarkEnd w:id="4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svg"/><Relationship Id="rId27" Type="http://schemas.openxmlformats.org/officeDocument/2006/relationships/image" Target="media/rId27.png"/><Relationship Id="rId24" Type="http://schemas.openxmlformats.org/officeDocument/2006/relationships/image" Target="media/rId24.png"/><Relationship Id="rId38" Type="http://schemas.openxmlformats.org/officeDocument/2006/relationships/image" Target="media/rId38.svg"/><Relationship Id="rId35" Type="http://schemas.openxmlformats.org/officeDocument/2006/relationships/image" Target="media/rId35.sv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2026-06-02T03:00:54Z</dcterms:created>
  <dcterms:modified xsi:type="dcterms:W3CDTF">2026-06-02T03:00:54Z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