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rare, the very under-judging and under-steering a</w:t>
      </w:r>
      <w:r>
        <w:t xml:space="preserve"> </w:t>
      </w:r>
      <w:r>
        <w:t xml:space="preserve">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v6uNfM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v6uNfM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 Rubric-based LLM grading studies</w:t>
      </w:r>
      <w:r>
        <w:t xml:space="preserve"> </w:t>
      </w:r>
      <w:r>
        <w:t xml:space="preserve">report high agreement with human raters (intraclass correlation up to 0.97) yet systematic divergence on</w:t>
      </w:r>
      <w:r>
        <w:t xml:space="preserve"> </w:t>
      </w:r>
      <w:r>
        <w:t xml:space="preserve">subjective criteria (Yavuz et al., 2025); the multitrait-multimethod design we use across three grader</w:t>
      </w:r>
      <w:r>
        <w:t xml:space="preserve"> </w:t>
      </w:r>
      <w:r>
        <w:t xml:space="preserve">backends (Section 8) treats that grader-method variance as a measured term rather than a confound.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Evaluative judgement and named-competency frameworks.</w:t>
      </w:r>
      <w:r>
        <w:t xml:space="preserve"> </w:t>
      </w:r>
      <w:r>
        <w:t xml:space="preserve">The capacity to discern quality,</w:t>
      </w:r>
      <w:r>
        <w:t xml:space="preserve"> </w:t>
      </w:r>
      <w:r>
        <w:rPr>
          <w:i/>
          <w:iCs/>
        </w:rPr>
        <w:t xml:space="preserve">evaluative</w:t>
      </w:r>
      <w:r>
        <w:rPr>
          <w:i/>
          <w:iCs/>
        </w:rPr>
        <w:t xml:space="preserve"> </w:t>
      </w:r>
      <w:r>
        <w:rPr>
          <w:i/>
          <w:iCs/>
        </w:rPr>
        <w:t xml:space="preserve">judgement</w:t>
      </w:r>
      <w:r>
        <w:t xml:space="preserve">, has been argued to be the core human capability for the generative-AI era (Bearman et al.,</w:t>
      </w:r>
      <w:r>
        <w:t xml:space="preserve"> </w:t>
      </w:r>
      <w:r>
        <w:t xml:space="preserve">2024), and students are observed to make continuous in-the-loop accept-and-reject judgements while</w:t>
      </w:r>
      <w:r>
        <w:t xml:space="preserve"> </w:t>
      </w:r>
      <w:r>
        <w:t xml:space="preserve">working with AI on assessment tasks (Walton et al., 2025). Our Judging skill operationalizes evaluative</w:t>
      </w:r>
      <w:r>
        <w:t xml:space="preserve"> </w:t>
      </w:r>
      <w:r>
        <w:t xml:space="preserve">judgement specifically for AI output; CoReasoning then departs from a unified-judgement account by</w:t>
      </w:r>
      <w:r>
        <w:t xml:space="preserve"> </w:t>
      </w:r>
      <w:r>
        <w:t xml:space="preserve">separating it from the generative acts of Framing and Steering, treating evaluation as one of three</w:t>
      </w:r>
      <w:r>
        <w:t xml:space="preserve"> </w:t>
      </w:r>
      <w:r>
        <w:t xml:space="preserve">independently-measurable skills rather than a single overarching disposition. Two findings reinforce</w:t>
      </w:r>
      <w:r>
        <w:t xml:space="preserve"> </w:t>
      </w:r>
      <w:r>
        <w:t xml:space="preserve">that Judging is a separable, demanding construct: critical evaluation is the single highest-load</w:t>
      </w:r>
      <w:r>
        <w:t xml:space="preserve"> </w:t>
      </w:r>
      <w:r>
        <w:t xml:space="preserve">activity in AI-assisted writing (Yao &amp; Fan, 2025), and users default to uncritically accepting AI</w:t>
      </w:r>
      <w:r>
        <w:t xml:space="preserve"> </w:t>
      </w:r>
      <w:r>
        <w:t xml:space="preserve">output absent intervention (Wingerter et al., 2025). Among named competency frameworks, the AI Quotient</w:t>
      </w:r>
      <w:r>
        <w:t xml:space="preserve"> </w:t>
      </w:r>
      <w:r>
        <w:t xml:space="preserve">enumerates eight broad collaboration dimensions (Ganuthula &amp; Balaraman, 2025); CoReasoning instead</w:t>
      </w:r>
      <w:r>
        <w:t xml:space="preserve"> </w:t>
      </w:r>
      <w:r>
        <w:t xml:space="preserve">collapses to three minimal, independently-assessable skills and, crucially, splits the single</w:t>
      </w:r>
      <w:r>
        <w:t xml:space="preserve"> </w:t>
      </w:r>
      <w:r>
        <w:t xml:space="preserve">prompt-engineering dimension that such frameworks leave fused into a pre-generation Framing skill and a</w:t>
      </w:r>
      <w:r>
        <w:t xml:space="preserve"> </w:t>
      </w:r>
      <w:r>
        <w:t xml:space="preserve">post-generation Steering skill. Frameworks that partition coursework by assessment mode rather than by</w:t>
      </w:r>
      <w:r>
        <w:t xml:space="preserve"> </w:t>
      </w:r>
      <w:r>
        <w:t xml:space="preserve">cognitive skill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are screenshots of the running platform.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it is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 The released</w:t>
      </w:r>
      <w:r>
        <w:t xml:space="preserve"> </w:t>
      </w:r>
      <w:r>
        <w:t xml:space="preserve">content already spans</w:t>
      </w:r>
      <w:r>
        <w:t xml:space="preserve"> </w:t>
      </w:r>
      <w:r>
        <w:rPr>
          <w:b/>
          <w:bCs/>
        </w:rPr>
        <w:t xml:space="preserve">twelve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and education fields, from algorithms and classical mechanics to constitutional law,</w:t>
      </w:r>
      <w:r>
        <w:t xml:space="preserve"> </w:t>
      </w:r>
      <w:r>
        <w:t xml:space="preserve">applied ethics, and instructional design (Appendix C). An educator in any of these fields authors a</w:t>
      </w:r>
      <w:r>
        <w:t xml:space="preserve"> </w:t>
      </w:r>
      <w:r>
        <w:t xml:space="preserve">challenge by naming a subject; the system generates the ill-defined problem, the three per-skill</w:t>
      </w:r>
      <w:r>
        <w:t xml:space="preserve"> </w:t>
      </w:r>
      <w:r>
        <w:t xml:space="preserve">rubrics, and the seeded-flaw solution.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 (Figure A3 traces the full</w:t>
      </w:r>
      <w:r>
        <w:t xml:space="preserve"> </w:t>
      </w:r>
      <w:r>
        <w:t xml:space="preserve">generation-and-assessment pipeline).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Appendix B, support the result: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 (a precision check, not accuracy against humans); the dissociation replicates across three grader backends spanning two providers (gpt-4o, gpt-4o-mini, and Meta's llama-3.3-70b; diagonal-to-off-diagonal ratio 39), so it does not hinge on one model snapshot; and a ground-truth ablation shows Framing and Steering are scored by rubric-guided model judgment while Judging, as instrumented, tracks the seeded answer key, which locates the Judging score to settings with known ground truth (Section 10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(Appendix B); agreement with</w:t>
      </w:r>
      <w:r>
        <w:t xml:space="preserve"> </w:t>
      </w:r>
      <w:r>
        <w:t xml:space="preserve">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an</w:t>
      </w:r>
      <w:r>
        <w:t xml:space="preserve"> </w:t>
      </w:r>
      <w:r>
        <w:t xml:space="preserve">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7"/>
    <w:bookmarkStart w:id="47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assets/system-challenge-ru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Screenshot of the running platform: a learner's challenge run at the Framing phase. The</w:t>
      </w:r>
      <w:r>
        <w:rPr>
          <w:i/>
          <w:iCs/>
        </w:rPr>
        <w:t xml:space="preserve"> </w:t>
      </w:r>
      <w:r>
        <w:rPr>
          <w:i/>
          <w:iCs/>
        </w:rPr>
        <w:t xml:space="preserve">engine has generated an ill-defined problem (here, an AI hiring-screening task), and the learner</w:t>
      </w:r>
      <w:r>
        <w:rPr>
          <w:i/>
          <w:iCs/>
        </w:rPr>
        <w:t xml:space="preserve"> </w:t>
      </w:r>
      <w:r>
        <w:rPr>
          <w:i/>
          <w:iCs/>
        </w:rPr>
        <w:t xml:space="preserve">specifies refinements before any solution is produced. The two-phase structure is explicit in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interface, Phase 1 (Framing) and Phase 2 (the Judge-Steer cycle), and each skill is scored and given</w:t>
      </w:r>
      <w:r>
        <w:rPr>
          <w:i/>
          <w:iCs/>
        </w:rPr>
        <w:t xml:space="preserve"> </w:t>
      </w:r>
      <w:r>
        <w:rPr>
          <w:i/>
          <w:iCs/>
        </w:rPr>
        <w:t xml:space="preserve">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 Lab instructor course analytics." title="" id="42" name="Picture"/>
            <a:graphic>
              <a:graphicData uri="http://schemas.openxmlformats.org/drawingml/2006/picture">
                <pic:pic>
                  <pic:nvPicPr>
                    <pic:cNvPr descr="assets/system-instructor-analytic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Screenshot of the running platform: the instructor course-analytics view. Grade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is broken out into separate Framing, Judging, and Steering panels, and the per-student</w:t>
      </w:r>
      <w:r>
        <w:rPr>
          <w:i/>
          <w:iCs/>
        </w:rPr>
        <w:t xml:space="preserve"> </w:t>
      </w:r>
      <w:r>
        <w:rPr>
          <w:i/>
          <w:iCs/>
        </w:rPr>
        <w:t xml:space="preserve">results list the three skills as distinct columns, the interface-level expression of the framework's</w:t>
      </w:r>
      <w:r>
        <w:rPr>
          <w:i/>
          <w:iCs/>
        </w:rPr>
        <w:t xml:space="preserve"> </w:t>
      </w:r>
      <w:r>
        <w:rPr>
          <w:i/>
          <w:iCs/>
        </w:rPr>
        <w:t xml:space="preserve">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 Lab engine." title="" id="45" name="Picture"/>
            <a:graphic>
              <a:graphicData uri="http://schemas.openxmlformats.org/drawingml/2006/picture">
                <pic:pic>
                  <pic:nvPicPr>
                    <pic:cNvPr descr="C:/Users/apart/AppData/Local/Temp/html2doc_svg_v6uNfM/svg_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A3. The sixteen-prompt engine in two phases. In authoring, the instructor names a subject and the</w:t>
      </w:r>
      <w:r>
        <w:rPr>
          <w:i/>
          <w:iCs/>
        </w:rPr>
        <w:t xml:space="preserve"> </w:t>
      </w:r>
      <w:r>
        <w:rPr>
          <w:i/>
          <w:iCs/>
        </w:rPr>
        <w:t xml:space="preserve">engine generates the ill-defined problem (prompt 01), three per-skill rubrics and a gold framing (02, 14),</w:t>
      </w:r>
      <w:r>
        <w:rPr>
          <w:i/>
          <w:iCs/>
        </w:rPr>
        <w:t xml:space="preserve"> </w:t>
      </w:r>
      <w:r>
        <w:rPr>
          <w:i/>
          <w:iCs/>
        </w:rPr>
        <w:t xml:space="preserve">and a deliberately flawed AI solution carrying seeded issues (03). In assessment, each learner response is</w:t>
      </w:r>
      <w:r>
        <w:rPr>
          <w:i/>
          <w:iCs/>
        </w:rPr>
        <w:t xml:space="preserve"> </w:t>
      </w:r>
      <w:r>
        <w:rPr>
          <w:i/>
          <w:iCs/>
        </w:rPr>
        <w:t xml:space="preserve">scored against a different referent: Framing against the gold framing and rubric (08), Judging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 issues (09), and Steering against the corrected trajectory after the output is re-run (04, 10);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grader prompt (11) then assigns each skill its own grade, and the three feed the per-student 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 course analytics. Because the three evaluation prompts interrogate different referents, the grades are</w:t>
      </w:r>
      <w:r>
        <w:rPr>
          <w:i/>
          <w:iCs/>
        </w:rPr>
        <w:t xml:space="preserve"> </w:t>
      </w:r>
      <w:r>
        <w:rPr>
          <w:i/>
          <w:iCs/>
        </w:rPr>
        <w:t xml:space="preserve">produced independently rather than as one global impression.</w:t>
      </w:r>
    </w:p>
    <w:bookmarkEnd w:id="47"/>
    <w:bookmarkStart w:id="48" w:name="appendix-b-robustness-and-ablations"/>
    <w:p>
      <w:pPr>
        <w:pStyle w:val="Heading2"/>
        <w:keepNext/>
        <w:keepLines/>
        <w:widowControl w:val="1"/>
      </w:pPr>
      <w:r>
        <w:t xml:space="preserve">Appendix B.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bookmarkEnd w:id="48"/>
    <w:bookmarkStart w:id="49" w:name="X20431813dc1d9ebe06088c2967a8c6d7cfc2771"/>
    <w:p>
      <w:pPr>
        <w:pStyle w:val="Heading2"/>
        <w:keepNext/>
        <w:keepLines/>
        <w:widowControl w:val="1"/>
      </w:pPr>
      <w:r>
        <w:t xml:space="preserve">Appendix C.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 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Table C1. 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6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49"/>
    <w:bookmarkStart w:id="5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, 49(6), 893–905. https://doi.org/10.1080/02602938.2024.2335321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</w:t>
      </w:r>
      <w:r>
        <w:t xml:space="preserve">, 10, 1596462. https://doi.org/10.3389/feduc.2025.1596462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, 5, 268. https://doi.org/10.1007/s44163-025-00516-1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</w:t>
      </w:r>
      <w:r>
        <w:t xml:space="preserve">, 35(6), 3746–3779. https://doi.org/10.1007/s40593-025-00514-5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</w:t>
      </w:r>
      <w:r>
        <w:t xml:space="preserve">, 270, 2106–2114. https://doi.org/10.1016/j.procs.2025.09.331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37(1), 7. https://doi.org/10.1007/s10648-024-09983-x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16, 1666974. https://doi.org/10.3389/fpsyg.2025.1666974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56(4), 1–17. https://doi.org/10.1111/bjet.13494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0"/>
    <w:bookmarkEnd w:id="5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44" Type="http://schemas.openxmlformats.org/officeDocument/2006/relationships/image" Target="media/rId44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2026-06-02T13:24:51Z</dcterms:created>
  <dcterms:modified xsi:type="dcterms:W3CDTF">2026-06-02T13:24:51Z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