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separation holds under a second grader backend, and the grader is</w:t>
      </w:r>
      <w:r>
        <w:t xml:space="preserve"> </w:t>
      </w:r>
      <w:r>
        <w:t xml:space="preserve">internally consistent on repeat, which is a precision check rather than accuracy against human experts.</w:t>
      </w:r>
      <w:r>
        <w:t xml:space="preserve"> </w:t>
      </w:r>
      <w:r>
        <w:t xml:space="preserve">We make no learning-outcome claims: because the learners are simulated and the grades are not yet</w:t>
      </w:r>
      <w:r>
        <w:t xml:space="preserve"> </w:t>
      </w:r>
      <w:r>
        <w:t xml:space="preserve">validated against human raters, this establishes that the constructs are</w:t>
      </w:r>
      <w:r>
        <w:t xml:space="preserve"> </w:t>
      </w:r>
      <w:r>
        <w:rPr>
          <w:i/>
          <w:iCs/>
        </w:rPr>
        <w:t xml:space="preserve">separable and automatically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scoreable under controlled conditions</w:t>
      </w:r>
      <w:r>
        <w:t xml:space="preserve">, not that the scores match expert judgment or that students</w:t>
      </w:r>
      <w:r>
        <w:t xml:space="preserve"> </w:t>
      </w:r>
      <w:r>
        <w:t xml:space="preserve">learn. The instrument, data, and a prepared human-rater validation protocol are publicly available.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UYNOW3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UYNOW3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its interface is bilingual (English and Hebrew), and it supports both</w:t>
      </w:r>
      <w:r>
        <w:t xml:space="preserve"> </w:t>
      </w:r>
      <w:r>
        <w:t xml:space="preserve">practice and assessment modes and both multiple-choice and open-ended response formats per phase. All</w:t>
      </w:r>
      <w:r>
        <w:t xml:space="preserve"> </w:t>
      </w:r>
      <w:r>
        <w:t xml:space="preserve">challenges evaluated in this paper are English-language (Section 11); the bilingual interface is not a</w:t>
      </w:r>
      <w:r>
        <w:t xml:space="preserve"> </w:t>
      </w:r>
      <w:r>
        <w:t xml:space="preserve">claim of validated cross-language scoring.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 "learners" 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Pooling all three, the diagonal</w:t>
      </w:r>
      <w:r>
        <w:t xml:space="preserve"> </w:t>
      </w:r>
      <w:r>
        <w:t xml:space="preserve">(own-skill) effect averages +1.02 against an off-diagonal of +0.01, but that pooled figure is lifted by</w:t>
      </w:r>
      <w:r>
        <w:t xml:space="preserve"> </w:t>
      </w:r>
      <w:r>
        <w:t xml:space="preserve">Judging's built-in component and should be interpreted through the two blind-graded effects above. Each</w:t>
      </w:r>
      <w:r>
        <w:t xml:space="preserve"> </w:t>
      </w:r>
      <w:r>
        <w:t xml:space="preserve">grade responds to its own skill and is essentially flat in the 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These per-subject splits are illustrative rather than powered comparisons, given only eight</w:t>
      </w:r>
      <w:r>
        <w:t xml:space="preserve"> </w:t>
      </w:r>
      <w:r>
        <w:t xml:space="preserve">learners per subject; the load-bearing estimates are the pooled own-effects and their confidence</w:t>
      </w:r>
      <w:r>
        <w:t xml:space="preserve"> </w:t>
      </w:r>
      <w:r>
        <w:t xml:space="preserve">intervals above.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(within family).</w:t>
      </w:r>
      <w:r>
        <w:t xml:space="preserve"> </w:t>
      </w:r>
      <w:r>
        <w:t xml:space="preserve">All grades above come from a single grader model</w:t>
      </w:r>
      <w:r>
        <w:t xml:space="preserve"> </w:t>
      </w:r>
      <w:r>
        <w:t xml:space="preserve">(gpt-4o), while the prototype's engine was a different model (llama-3.3-70b). To probe whether the</w:t>
      </w:r>
      <w:r>
        <w:t xml:space="preserve"> </w:t>
      </w:r>
      <w:r>
        <w:t xml:space="preserve">dissociation is an artifact of one grader, we re-graded the identical 40 transcripts (challenges and</w:t>
      </w:r>
      <w:r>
        <w:t xml:space="preserve"> </w:t>
      </w:r>
      <w:r>
        <w:t xml:space="preserve">learner responses held fixed) with a different model, gpt-4o-mini. The dissociation replicates:</w:t>
      </w:r>
      <w:r>
        <w:t xml:space="preserve"> </w:t>
      </w:r>
      <w:r>
        <w:t xml:space="preserve">own-skill effects again dominate cross-skill effects (diagonal +0.47 versus off-diagonal +0.07). Notably, under this weaker</w:t>
      </w:r>
      <w:r>
        <w:t xml:space="preserve"> </w:t>
      </w:r>
      <w:r>
        <w:t xml:space="preserve">grader Judging's own-effect falls from +2.00 to +0.65, comparable to Framing's own-effect under the</w:t>
      </w:r>
      <w:r>
        <w:t xml:space="preserve"> </w:t>
      </w:r>
      <w:r>
        <w:t xml:space="preserve">same grader (also +0.65), which confirms that the large +2.00 was specific to gpt-4o's strict</w:t>
      </w:r>
      <w:r>
        <w:t xml:space="preserve"> </w:t>
      </w:r>
      <w:r>
        <w:t xml:space="preserve">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(Steering's own-effect is smallest, +0.10 here, consistent with</w:t>
      </w:r>
      <w:r>
        <w:t xml:space="preserve"> </w:t>
      </w:r>
      <w:r>
        <w:t xml:space="preserve">the Proposition-P2 ceiling relation discussed below rather than absence of the construct.) Both graders</w:t>
      </w:r>
      <w:r>
        <w:t xml:space="preserve"> </w:t>
      </w:r>
      <w:r>
        <w:t xml:space="preserve">are from a single provider family, so this establishes within-family robustness only; replication across</w:t>
      </w:r>
      <w:r>
        <w:t xml:space="preserve"> </w:t>
      </w:r>
      <w:r>
        <w:t xml:space="preserve">an independent vendor is a deliberate open item in the validation program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Judging's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Judging's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is a controlled check that the grader correctly</w:t>
      </w:r>
      <w:r>
        <w:t xml:space="preserve"> </w:t>
      </w:r>
      <w:r>
        <w:t xml:space="preserve">rewards recall and precision. Independent evidence of separation comes from the free-text, blind-graded</w:t>
      </w:r>
      <w:r>
        <w:t xml:space="preserve"> </w:t>
      </w:r>
      <w:r>
        <w:t xml:space="preserve">skills, Framing and Steering, whose positive own-effects (+0.62, +0.43) with near-zero cross-effects</w:t>
      </w:r>
      <w:r>
        <w:t xml:space="preserve"> </w:t>
      </w:r>
      <w:r>
        <w:t xml:space="preserve">carry the result.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study: a stratified sample of transcripts (target on the order of 150 to</w:t>
      </w:r>
      <w:r>
        <w:t xml:space="preserve"> </w:t>
      </w:r>
      <w:r>
        <w:t xml:space="preserve">200 transcripts spanning competence profiles and subjects) is re-graded by at least three blind human</w:t>
      </w:r>
      <w:r>
        <w:t xml:space="preserve"> </w:t>
      </w:r>
      <w:r>
        <w:t xml:space="preserve">experts per skill using the per-skill rubrics, and agreement with the automated grader is reported</w:t>
      </w:r>
      <w:r>
        <w:t xml:space="preserve"> </w:t>
      </w:r>
      <w:r>
        <w:t xml:space="preserve">as Cohen's</w:t>
      </w:r>
      <w:r>
        <w:t xml:space="preserve"> </w:t>
      </w:r>
      <m:oMath>
        <m:r>
          <m:t>κ</m:t>
        </m:r>
      </m:oMath>
      <w:r>
        <w:t xml:space="preserve">, Fleiss'</w:t>
      </w:r>
      <w:r>
        <w:t xml:space="preserve"> </w:t>
      </w:r>
      <m:oMath>
        <m:r>
          <m:t>κ</m:t>
        </m:r>
      </m:oMath>
      <w:r>
        <w:t xml:space="preserve">, and ordinal Krippendorff's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; that sample size supports a reasonably precise</w:t>
      </w:r>
      <w:r>
        <w:t xml:space="preserve"> </w:t>
      </w:r>
      <w:r>
        <w:t xml:space="preserve">agreement estimate (half-width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) and the detection of a</w:t>
      </w:r>
      <w:r>
        <w:t xml:space="preserve"> </w:t>
      </w:r>
      <m:oMath>
        <m:r>
          <m:t>κ</m:t>
        </m:r>
        <m:r>
          <m:rPr>
            <m:sty m:val="p"/>
          </m:rPr>
          <m:t>≥</m:t>
        </m:r>
        <m:r>
          <m:t>0.6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floor.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3d190d206b9dddd8a7dadd6848a844299fab8ec"/>
    <w:p>
      <w:pPr>
        <w:pStyle w:val="Heading2"/>
        <w:keepNext/>
        <w:keepLines/>
        <w:widowControl w:val="1"/>
      </w:pPr>
      <w:r>
        <w:t xml:space="preserve">11.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prototype's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UYNOW3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UYNOW3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2026-06-02T04:53:08Z</dcterms:created>
  <dcterms:modified xsi:type="dcterms:W3CDTF">2026-06-02T04:53:08Z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