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iCs/>
          <w:sz w:val="24"/>
        </w:rPr>
        <w:t xml:space="preserve">[Author names and affiliations withheld for anonymous review]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UKt5P2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UKt5P2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1a2afd3c43fe6521ab583bbf3f54e3e56adb41a"/>
    <w:p>
      <w:pPr>
        <w:pStyle w:val="Heading2"/>
        <w:keepNext/>
        <w:keepLines/>
        <w:widowControl w:val="1"/>
      </w:pPr>
      <w:r>
        <w:t xml:space="preserve">7. The assessment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 a runnable open-source web platform (name and repository withheld for anonymous review)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Supplementary Material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(Supplementary Material).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Supplementary Material.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Supplementary Material,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1"/>
    <w:bookmarkEnd w:id="4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360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360" w:lineRule="auto"/>
      <w:ind w:firstLine="72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360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2026-07-07T09:01:47Z</dcterms:created>
  <dcterms:modified xsi:type="dcterms:W3CDTF">2026-07-07T09:01:47Z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