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learner’s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We release the instrument, the controlled-generation harness, the data, and a prepared human-validation</w:t>
      </w:r>
      <w:r>
        <w:t xml:space="preserve"> </w:t>
      </w:r>
      <w:r>
        <w:t xml:space="preserve">protocol.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human’s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setting. In an intervention study,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Judging’s own-effect falls from +2.00 to +0.65, comparable to Framing’s own-effect under the</w:t>
      </w:r>
      <w:r>
        <w:t xml:space="preserve"> </w:t>
      </w:r>
      <w:r>
        <w:t xml:space="preserve">same grader (also +0.65), which confirms that the large +2.00 was specific to gpt-4o’s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2026-06-01T09:50:19Z</dcterms:created>
  <dcterms:modified xsi:type="dcterms:W3CDTF">2026-06-01T09:50:19Z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