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9dba699e1585523456db11bdab5d7e7e6909c23"/>
    <w:p>
      <w:pPr>
        <w:pStyle w:val="Heading1"/>
      </w:pPr>
      <w:r>
        <w:t xml:space="preserve">Framing, Judging, Steering: An Assessable Competency Model for Reasoning With Generative AI</w:t>
      </w:r>
    </w:p>
    <w:p>
      <w:pPr>
        <w:pStyle w:val="FirstParagraph"/>
      </w:pPr>
      <w:r>
        <w:rPr>
          <w:i/>
          <w:iCs/>
        </w:rPr>
        <w:t xml:space="preserve">Working draft — arXiv preprint. Target: Computers &amp; Education: AI (Position Paper) / AIED Blue Sky / IJAIED.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state five testable propositions about how</w:t>
      </w:r>
      <w:r>
        <w:t xml:space="preserve"> </w:t>
      </w:r>
      <w:r>
        <w:t xml:space="preserve">the skills relate, position the model against the nearest prior frameworks, and report a</w:t>
      </w:r>
      <w:r>
        <w:t xml:space="preserve"> </w:t>
      </w:r>
      <w:r>
        <w:t xml:space="preserve">proof-of-concept instrument together with a feasibility demonstration that the three skills</w:t>
      </w:r>
      <w:r>
        <w:t xml:space="preserve"> </w:t>
      </w:r>
      <w:r>
        <w:t xml:space="preserve">dissociate and can be measured automatically. We close with the tensions a mature account must</w:t>
      </w:r>
      <w:r>
        <w:t xml:space="preserve"> </w:t>
      </w:r>
      <w:r>
        <w:t xml:space="preserve">resolve and a concrete assessment-validation agenda.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introduction of generative AI into learning environments has, by default, optimized for the</w:t>
      </w:r>
      <w:r>
        <w:t xml:space="preserve"> </w:t>
      </w:r>
      <w:r>
        <w:t xml:space="preserve">wrong variable. Most AI-in-education tools shorten the path from question to answer. Yet the answer</w:t>
      </w:r>
      <w:r>
        <w:t xml:space="preserve"> </w:t>
      </w:r>
      <w:r>
        <w:t xml:space="preserve">was never the point of education: the cognitive work of specifying a problem, evaluating a candidate</w:t>
      </w:r>
      <w:r>
        <w:t xml:space="preserve"> </w:t>
      </w:r>
      <w:r>
        <w:t xml:space="preserve">solution, and improving it is where learning happens. When that work is delegated wholesale to a</w:t>
      </w:r>
      <w:r>
        <w:t xml:space="preserve"> </w:t>
      </w:r>
      <w:r>
        <w:t xml:space="preserve">machine, the learner is left with a correct artifact and an unchanged mind.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(the 2024 essay-writing literature),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turning a taxonomy into a framework with empirical commitments.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66ab742d2d29b469acd8c125b52c7b6e582e57f"/>
    <w:p>
      <w:pPr>
        <w:pStyle w:val="Heading3"/>
      </w:pPr>
      <w:r>
        <w:t xml:space="preserve">3.1 A monitor–control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AI’s generative process is the object level the learner supervises: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monitor–control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Paul-Elder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guidance, and its quality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This definition fuses Framing and Steering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skill, exactly the conflation</w:t>
      </w:r>
      <w:r>
        <w:t xml:space="preserve"> </w:t>
      </w:r>
      <w:r>
        <w:t xml:space="preserve">CoReasoning rejects. Treating them separately is not a cosmetic relabeling: it predicts, and our</w:t>
      </w:r>
      <w:r>
        <w:t xml:space="preserve"> </w:t>
      </w:r>
      <w:r>
        <w:t xml:space="preserve">feasibility demonstration supports, that a learner’s Framing and Steering grades can diverge.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(with factors derived</w:t>
      </w:r>
      <w:r>
        <w:t xml:space="preserve"> </w:t>
      </w:r>
      <w:r>
        <w:t xml:space="preserve">from digital-competence frameworks) and assessment tests such as GLAT. These establish that GenAI</w:t>
      </w:r>
      <w:r>
        <w:t xml:space="preserve"> </w:t>
      </w:r>
      <w:r>
        <w:t xml:space="preserve">competence can be measured, but their factor structures are literacy-oriented (information literacy,</w:t>
      </w:r>
      <w:r>
        <w:t xml:space="preserve"> </w:t>
      </w:r>
      <w:r>
        <w:t xml:space="preserve">ethics, content creation) and do not isolate a Framing, Judging, or Steering construct. The work</w:t>
      </w:r>
      <w:r>
        <w:t xml:space="preserve"> </w:t>
      </w:r>
      <w:r>
        <w:t xml:space="preserve">closest to ours pairs AI-collaboration literacy with metacognition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is instantiated in a deployed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2), a student enters a</w:t>
      </w:r>
      <w:r>
        <w:t xml:space="preserve"> </w:t>
      </w:r>
      <w:r>
        <w:t xml:space="preserve">challenge run that walks through the framework’s two phases (Figure 3):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 —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 —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4)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two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 and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five challenges across distinct</w:t>
      </w:r>
      <w:r>
        <w:t xml:space="preserve"> </w:t>
      </w:r>
      <w:r>
        <w:t xml:space="preserve">subjects (algorithms, microeconomics, machine learning, databases, statistics), for 40 simulated</w:t>
      </w:r>
      <w:r>
        <w:t xml:space="preserve"> </w:t>
      </w:r>
      <w:r>
        <w:t xml:space="preserve">learners and 255 blind grading calls. Framing and Steering responses are generated by the</w:t>
      </w:r>
      <w:r>
        <w:t xml:space="preserve"> </w:t>
      </w:r>
      <w:r>
        <w:t xml:space="preserve">competence-conditioned learner model; Judging is operationalized by a competence-conditioned selection</w:t>
      </w:r>
      <w:r>
        <w:t xml:space="preserve"> </w:t>
      </w:r>
      <w:r>
        <w:t xml:space="preserve">over the challenge’s ground-truth seeded issues (a strong judge flags all real issues and no false</w:t>
      </w:r>
      <w:r>
        <w:t xml:space="preserve"> </w:t>
      </w:r>
      <w:r>
        <w:t xml:space="preserve">ones; a weak judge flags few real issues and some false ones).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+1.03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−0.02</w:t>
      </w:r>
      <w:r>
        <w:t xml:space="preserve">, a ratio of roughly</w:t>
      </w:r>
      <w:r>
        <w:t xml:space="preserve"> </w:t>
      </w:r>
      <w:r>
        <w:rPr>
          <w:b/>
          <w:bCs/>
        </w:rPr>
        <w:t xml:space="preserve">60 to 1</w:t>
      </w:r>
      <w:r>
        <w:t xml:space="preserve">. Each</w:t>
      </w:r>
      <w:r>
        <w:t xml:space="preserve"> </w:t>
      </w:r>
      <w:r>
        <w:t xml:space="preserve">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N=40).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+0.50</w:t>
            </w:r>
          </w:p>
        </w:tc>
      </w:tr>
    </w:tbl>
    <w:p>
      <w:pPr>
        <w:pStyle w:val="BodyText"/>
      </w:pPr>
      <w:r>
        <w:t xml:space="preserve">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(+0.60, +0.50)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With three grade indicators a stable factor model is</w:t>
      </w:r>
      <w:r>
        <w:t xml:space="preserve"> </w:t>
      </w:r>
      <w:r>
        <w:t xml:space="preserve">under-identified, so we report the manipulation-based effect matrix rather than an exploratory factor</w:t>
      </w:r>
      <w:r>
        <w:t xml:space="preserve"> </w:t>
      </w:r>
      <w:r>
        <w:t xml:space="preserve">analysis. Steering shows the weakest own-effect, consistent with Proposition P2 (steering quality is</w:t>
      </w:r>
      <w:r>
        <w:t xml:space="preserve"> </w:t>
      </w:r>
      <w:r>
        <w:t xml:space="preserve">bounded, and partly confounded, by the judging it follows).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(Anonymous, 2025), so automated grades must be validated against humans rather than assumed reliable. We have prepared this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The</w:t>
      </w:r>
      <w:r>
        <w:t xml:space="preserve"> </w:t>
      </w:r>
      <w:r>
        <w:t xml:space="preserve">instrument is exercised with a single model family (llama-3.3-70b) on English-language challenges, and</w:t>
      </w:r>
      <w:r>
        <w:t xml:space="preserve"> </w:t>
      </w:r>
      <w:r>
        <w:t xml:space="preserve">the automated grades have not yet been validated against human experts (Section 10). We make no</w:t>
      </w:r>
      <w:r>
        <w:t xml:space="preserve"> </w:t>
      </w:r>
      <w:r>
        <w:t xml:space="preserve">learning-outcome claim. What the paper establishes is conceptual: a theoretically-grounded</w:t>
      </w:r>
      <w:r>
        <w:t xml:space="preserve"> </w:t>
      </w:r>
      <w:r>
        <w:t xml:space="preserve">decomposition with stated propositions, a precise novelty boundary, and evidence that the three</w:t>
      </w:r>
      <w:r>
        <w:t xml:space="preserve"> </w:t>
      </w:r>
      <w:r>
        <w:t xml:space="preserve">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49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Judge–Steer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bookmarkEnd w:id="49"/>
    <w:bookmarkStart w:id="5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[Rendered from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(43 entries, validated). See the repository for the BibTeX source.]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2026-06-01T06:21:55Z</dcterms:created>
  <dcterms:modified xsi:type="dcterms:W3CDTF">2026-06-01T06:21:55Z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