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df9502ef5c17bbba6731875408e8426bd513f0c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Framing, Judging, Steering: An Assessable Competency Model for Teaching Students to Reason With Generative AI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bCs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</w:rPr>
        <w:t xml:space="preserve">¹ and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 xml:space="preserve">Yehudit Aperstein</w:t>
      </w:r>
      <w:r>
        <w:rPr>
          <w:rFonts w:ascii="Times New Roman" w:hAnsi="Times New Roman"/>
          <w:b/>
          <w:i w:val="0"/>
          <w:sz w:val="24"/>
        </w:rPr>
        <w:t xml:space="preserve">²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¹ Holon Institute of Technology · ² Afeka College of Engineering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Generative AI makes it trivial to obtain an answer and difficult to obtain understanding, and uncritical</w:t>
      </w:r>
      <w:r>
        <w:t xml:space="preserve"> </w:t>
      </w:r>
      <w:r>
        <w:t xml:space="preserve">use is increasingly linked to cognitive offloading and weakened critical thinking. This exposes a</w:t>
      </w:r>
      <w:r>
        <w:t xml:space="preserve"> </w:t>
      </w:r>
      <w:r>
        <w:t xml:space="preserve">mismatch between what education assesses and what students now do: our examinations still measure</w:t>
      </w:r>
      <w:r>
        <w:t xml:space="preserve"> </w:t>
      </w:r>
      <w:r>
        <w:rPr>
          <w:i/>
          <w:iCs/>
        </w:rPr>
        <w:t xml:space="preserve">unaided</w:t>
      </w:r>
      <w:r>
        <w:t xml:space="preserve"> </w:t>
      </w:r>
      <w:r>
        <w:t xml:space="preserve">performance, while the task graduates actually face, in classrooms and workplaces saturated</w:t>
      </w:r>
      <w:r>
        <w:t xml:space="preserve"> </w:t>
      </w:r>
      <w:r>
        <w:t xml:space="preserve">with capable AI, is to produce good work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it, by framing an ill-defined task, judging the output,</w:t>
      </w:r>
      <w:r>
        <w:t xml:space="preserve"> </w:t>
      </w:r>
      <w:r>
        <w:t xml:space="preserve">and steering the model toward something better. As models absorb more of the execution, this</w:t>
      </w:r>
      <w:r>
        <w:t xml:space="preserve"> </w:t>
      </w:r>
      <w:r>
        <w:t xml:space="preserve">collaborative work is the part of competent performance that stays with the person, which is precisely</w:t>
      </w:r>
      <w:r>
        <w:t xml:space="preserve"> </w:t>
      </w:r>
      <w:r>
        <w:t xml:space="preserve">what assessment must now target. This ability to work with AI is neither taught nor</w:t>
      </w:r>
      <w:r>
        <w:t xml:space="preserve"> </w:t>
      </w:r>
      <w:r>
        <w:t xml:space="preserve">assessed as a competency in its own right; where it is measured at all, it is folded into a single</w:t>
      </w:r>
      <w:r>
        <w:t xml:space="preserve"> </w:t>
      </w:r>
      <w:r>
        <w:t xml:space="preserve">"prompting" score that cannot diagnose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given learner's AI use succeeds or fails (whether they</w:t>
      </w:r>
      <w:r>
        <w:t xml:space="preserve"> </w:t>
      </w:r>
      <w:r>
        <w:t xml:space="preserve">specified the task poorly, missed the flaws in the output, or failed to correct them). We treat it</w:t>
      </w:r>
      <w:r>
        <w:t xml:space="preserve"> </w:t>
      </w:r>
      <w:r>
        <w:t xml:space="preserve">instead as a teachable, assessable competency that can be named, decomposed, and measured.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an open learning platform</w:t>
      </w:r>
      <w:r>
        <w:t xml:space="preserve"> </w:t>
      </w:r>
      <w:r>
        <w:t xml:space="preserve">that presents deliberately flawed AI output for students to judge and steer, and scores the three</w:t>
      </w:r>
      <w:r>
        <w:t xml:space="preserve"> </w:t>
      </w:r>
      <w:r>
        <w:t xml:space="preserve">skills independently. In a feasibility demonstration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by one model and graded by a</w:t>
      </w:r>
      <w:r>
        <w:t xml:space="preserve"> </w:t>
      </w:r>
      <w:r>
        <w:t xml:space="preserve">different one to avoid self-grading),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The result is carried by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 the grader scores without</w:t>
      </w:r>
      <w:r>
        <w:t xml:space="preserve"> </w:t>
      </w:r>
      <w:r>
        <w:t xml:space="preserve">knowing the intended competence: each moves with its own manipulated competence while staying flat in</w:t>
      </w:r>
      <w:r>
        <w:t xml:space="preserve"> </w:t>
      </w:r>
      <w:r>
        <w:t xml:space="preserve">the others, and the cleanest pair (Framing and Judging) is uncorrelated despite being scored by</w:t>
      </w:r>
      <w:r>
        <w:t xml:space="preserve"> </w:t>
      </w:r>
      <w:r>
        <w:t xml:space="preserve">entirely separate mechanisms. The same instrument returns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grades when a single competence</w:t>
      </w:r>
      <w:r>
        <w:t xml:space="preserve"> </w:t>
      </w:r>
      <w:r>
        <w:t xml:space="preserve">is shared across the three skills, so the separation reflects the learners rather than the scoring</w:t>
      </w:r>
      <w:r>
        <w:t xml:space="preserve"> </w:t>
      </w:r>
      <w:r>
        <w:t xml:space="preserve">(convergent and discriminant validity). The separation holds under three grader backends spanning two</w:t>
      </w:r>
      <w:r>
        <w:t xml:space="preserve"> </w:t>
      </w:r>
      <w:r>
        <w:t xml:space="preserve">providers, which also agree on each skill at the per-learner level, and the grader is highly</w:t>
      </w:r>
      <w:r>
        <w:t xml:space="preserve"> </w:t>
      </w:r>
      <w:r>
        <w:t xml:space="preserve">self-consistent on repeat. The constructs are therefore separable and automatically scoreable; agreement with human raters and learning outcomes are the defined next</w:t>
      </w:r>
      <w:r>
        <w:t xml:space="preserve"> </w:t>
      </w:r>
      <w:r>
        <w:t xml:space="preserve">steps of the program, for which we release a prepared validation protocol alongside the instrument and</w:t>
      </w:r>
      <w:r>
        <w:t xml:space="preserve"> </w:t>
      </w:r>
      <w:r>
        <w:t xml:space="preserve">data.</w:t>
      </w:r>
    </w:p>
    <w:bookmarkEnd w:id="9"/>
    <w:bookmarkStart w:id="13" w:name="Xe3d0fc0bea9a42ce7605565d0964033d7f6ee47"/>
    <w:p>
      <w:pPr>
        <w:pStyle w:val="Heading2"/>
        <w:keepNext/>
        <w:keepLines/>
        <w:widowControl w:val="1"/>
      </w:pPr>
      <w:r>
        <w:t xml:space="preserve">1. 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 "metacognitive</w:t>
      </w:r>
      <w:r>
        <w:t xml:space="preserve"> </w:t>
      </w:r>
      <w:r>
        <w:t xml:space="preserve">laziness," 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 "cognitive debt" 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user's skill in directing it: assistance helps inside a model's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(Dell'Acqua et al., 2023), and the most effective users adopt an iterative, critical</w:t>
      </w:r>
      <w:r>
        <w:t xml:space="preserve"> </w:t>
      </w:r>
      <w:r>
        <w:t xml:space="preserve">"push-back-and-validate" mode rather than wholesale delegation (Randazzo et al., 2025). Meta-analytic</w:t>
      </w:r>
      <w:r>
        <w:t xml:space="preserve"> </w:t>
      </w:r>
      <w:r>
        <w:t xml:space="preserve">evidence underscores the stakes: human-AI teams frequently underperform the better of the human or the</w:t>
      </w:r>
      <w:r>
        <w:t xml:space="preserve"> </w:t>
      </w:r>
      <w:r>
        <w:t xml:space="preserve">AI alone (Vaccaro et al., 2024), which makes the human's skill in directing the system, not mere access</w:t>
      </w:r>
      <w:r>
        <w:t xml:space="preserve"> </w:t>
      </w:r>
      <w:r>
        <w:t xml:space="preserve">to it, the decisive variable. Direct behavioral evidence sharpens the point: across 16,851 real</w:t>
      </w:r>
      <w:r>
        <w:t xml:space="preserve"> </w:t>
      </w:r>
      <w:r>
        <w:t xml:space="preserve">student-ChatGPT interactions from a university course (McNichols et al., 2025), students' moves are</w:t>
      </w:r>
      <w:r>
        <w:t xml:space="preserve"> </w:t>
      </w:r>
      <w:r>
        <w:t xml:space="preserve">dominated by framing-type queries, while explicit verification of the AI's output (about 4% of</w:t>
      </w:r>
      <w:r>
        <w:t xml:space="preserve"> </w:t>
      </w:r>
      <w:r>
        <w:t xml:space="preserve">interactions) and corrective editing (about 2.5%) are rare, the very under-judging and under-steering a</w:t>
      </w:r>
      <w:r>
        <w:t xml:space="preserve"> </w:t>
      </w:r>
      <w:r>
        <w:t xml:space="preserve">competency model must target.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learner's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learner's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 "prompting" score conflates them.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trajectory is not transient, and that is what raises the stakes for assessment. As models absorb</w:t>
      </w:r>
      <w:r>
        <w:t xml:space="preserve"> </w:t>
      </w:r>
      <w:r>
        <w:t xml:space="preserve">more of the execution, the human contribution does not disappear; it concentrates in the operations a</w:t>
      </w:r>
      <w:r>
        <w:t xml:space="preserve"> </w:t>
      </w:r>
      <w:r>
        <w:t xml:space="preserve">system cannot perform on its own behalf: choosing which problem is worth solving and specifying it,</w:t>
      </w:r>
      <w:r>
        <w:t xml:space="preserve"> </w:t>
      </w:r>
      <w:r>
        <w:t xml:space="preserve">judging whether a fluent output is actually right, and redirecting the model when it is not. The field</w:t>
      </w:r>
      <w:r>
        <w:t xml:space="preserve"> </w:t>
      </w:r>
      <w:r>
        <w:t xml:space="preserve">evidence that AI's value is conditional on the user's skill (Dell'Acqua et al., 2023; Vaccaro et al.,</w:t>
      </w:r>
      <w:r>
        <w:t xml:space="preserve"> </w:t>
      </w:r>
      <w:r>
        <w:t xml:space="preserve">2024) implies that this conditioning tightens rather than loosens as systems improve, so the durable,</w:t>
      </w:r>
      <w:r>
        <w:t xml:space="preserve"> </w:t>
      </w:r>
      <w:r>
        <w:t xml:space="preserve">assessable human skill shifts from executing a task to framing, judging, and steering it (Acar, 2023;</w:t>
      </w:r>
      <w:r>
        <w:t xml:space="preserve"> </w:t>
      </w:r>
      <w:r>
        <w:t xml:space="preserve">Denny et al., 2024) (Figure 1). An assessment that still measures unaided execution therefore measures</w:t>
      </w:r>
      <w:r>
        <w:t xml:space="preserve"> </w:t>
      </w:r>
      <w:r>
        <w:t xml:space="preserve">a shrinking part of what competent work will require.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40911"/>
            <wp:effectExtent b="0" l="0" r="0" t="0"/>
            <wp:docPr descr="Figure 1. As model capability rises, the human contribution concentrates in Framing, Judging, and Steering." title="" id="11" name="Picture"/>
            <a:graphic>
              <a:graphicData uri="http://schemas.openxmlformats.org/drawingml/2006/picture">
                <pic:pic>
                  <pic:nvPicPr>
                    <pic:cNvPr descr="C:/Users/apart/AppData/Local/Temp/html2doc_svg_mhm65S/svg_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09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1 (schematic). As models absorb more of the execution, the part of a task a competent person</w:t>
      </w:r>
      <w:r>
        <w:rPr>
          <w:i/>
          <w:iCs/>
        </w:rPr>
        <w:t xml:space="preserve"> </w:t>
      </w:r>
      <w:r>
        <w:rPr>
          <w:i/>
          <w:iCs/>
        </w:rPr>
        <w:t xml:space="preserve">must still own shifts from doing the work toward framing, judging, and steering it; the axes are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conceptual, not quantitative. CoReasoning is a decomposition and assessment of that shifting</w:t>
      </w:r>
      <w:r>
        <w:rPr>
          <w:i/>
          <w:iCs/>
        </w:rPr>
        <w:t xml:space="preserve"> </w:t>
      </w:r>
      <w:r>
        <w:rPr>
          <w:i/>
          <w:iCs/>
        </w:rPr>
        <w:t xml:space="preserve">contribution.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AI's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 (Framing, Judging, and Steering),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proof-of-concept instrument and feasibility demonstration</w:t>
      </w:r>
      <w:r>
        <w:t xml:space="preserve"> </w:t>
      </w:r>
      <w:r>
        <w:t xml:space="preserve">showing that the three skills can be</w:t>
      </w:r>
      <w:r>
        <w:t xml:space="preserve"> </w:t>
      </w:r>
      <w:r>
        <w:t xml:space="preserve">scored automatically, with a multitrait-multimethod validity analysis (three grader backends across</w:t>
      </w:r>
      <w:r>
        <w:t xml:space="preserve"> </w:t>
      </w:r>
      <w:r>
        <w:t xml:space="preserve">two vendors; shared- versus independent-competence populations) giving convergent and discriminant</w:t>
      </w:r>
      <w:r>
        <w:t xml:space="preserve"> </w:t>
      </w:r>
      <w:r>
        <w:t xml:space="preserve">evidence that the skills are separately measurable, not one relabeled "prompting" skill.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assessment instrument and the experiment data) together</w:t>
      </w:r>
      <w:r>
        <w:t xml:space="preserve"> </w:t>
      </w:r>
      <w:r>
        <w:t xml:space="preserve">with a fully prepared human-rater validation protocol for the community to run.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;</w:t>
      </w:r>
      <w:r>
        <w:t xml:space="preserve"> </w:t>
      </w:r>
      <w:r>
        <w:t xml:space="preserve">the efficacy study that tests learning outcomes is the next stage of the program (Section 10).</w:t>
      </w:r>
    </w:p>
    <w:bookmarkEnd w:id="13"/>
    <w:bookmarkStart w:id="14" w:name="Xc80aad60eb1ce9c76f3f6e8ebe48a2f3b3f278b"/>
    <w:p>
      <w:pPr>
        <w:pStyle w:val="Heading2"/>
        <w:keepNext/>
        <w:keepLines/>
        <w:widowControl w:val="1"/>
      </w:pPr>
      <w:r>
        <w:t xml:space="preserve">2. The problem with current AI-literacy assessment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 "prompting" 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cost of this coarse resolution is diagnostic. When a learner's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 (teaching problem</w:t>
      </w:r>
      <w:r>
        <w:t xml:space="preserve"> </w:t>
      </w:r>
      <w:r>
        <w:t xml:space="preserve">specification, teaching critical evaluation, and teaching corrective communication),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AI's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14"/>
    <w:bookmarkStart w:id="21" w:name="X633cad0d74cfeb5d5acc5b289e740398e9962c8"/>
    <w:p>
      <w:pPr>
        <w:pStyle w:val="Heading2"/>
        <w:keepNext/>
        <w:keepLines/>
        <w:widowControl w:val="1"/>
      </w:pPr>
      <w:r>
        <w:t xml:space="preserve">3. The CoReasoning framework</w:t>
      </w:r>
    </w:p>
    <w:bookmarkStart w:id="18" w:name="Xe68b6e3303f1e693b99eac37e4ff2b8b0d9c1ec"/>
    <w:p>
      <w:pPr>
        <w:pStyle w:val="Heading3"/>
        <w:keepNext/>
        <w:keepLines/>
        <w:widowControl w:val="1"/>
      </w:pPr>
      <w:r>
        <w:t xml:space="preserve">3.1 A monitor-control architecture with an upstream task-definition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learner's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AI's</w:t>
      </w:r>
      <w:r>
        <w:t xml:space="preserve"> </w:t>
      </w:r>
      <w:r>
        <w:t xml:space="preserve">generative process, rather than the learner's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framework's central theoretical move: the same metacognitive machinery is turned</w:t>
      </w:r>
      <w:r>
        <w:t xml:space="preserve"> </w:t>
      </w:r>
      <w:r>
        <w:t xml:space="preserve">outward onto a fallible cognitive artifact. This extension is non-trivial. Exo-directed monitoring adds</w:t>
      </w:r>
      <w:r>
        <w:t xml:space="preserve"> </w:t>
      </w:r>
      <w:r>
        <w:t xml:space="preserve">an epistemic-vigilance burden that self-monitoring does not have: the learner must judge the reliability</w:t>
      </w:r>
      <w:r>
        <w:t xml:space="preserve"> </w:t>
      </w:r>
      <w:r>
        <w:t xml:space="preserve">of a source whose competence differs from, and is hidden from, their own. This is exactly why Judging is</w:t>
      </w:r>
      <w:r>
        <w:t xml:space="preserve"> </w:t>
      </w:r>
      <w:r>
        <w:t xml:space="preserve">bounded by domain knowledge (Proposition P4). With that point made, the mapping is direct: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coexist by stipulation</w:t>
      </w:r>
      <w:r>
        <w:t xml:space="preserve"> </w:t>
      </w:r>
      <w:r>
        <w:t xml:space="preserve">(Figure 2).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488634"/>
            <wp:effectExtent b="0" l="0" r="0" t="0"/>
            <wp:docPr descr="Figure 2. The CoReasoning architecture." title="" id="16" name="Picture"/>
            <a:graphic>
              <a:graphicData uri="http://schemas.openxmlformats.org/drawingml/2006/picture">
                <pic:pic>
                  <pic:nvPicPr>
                    <pic:cNvPr descr="C:/Users/apart/AppData/Local/Temp/html2doc_svg_mhm65S/svg_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88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2.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monitor's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controller's write.</w:t>
      </w:r>
    </w:p>
    <w:bookmarkEnd w:id="18"/>
    <w:bookmarkStart w:id="19" w:name="X1eb66af04d4702fef1ddf2edf668648ed034024"/>
    <w:p>
      <w:pPr>
        <w:pStyle w:val="Heading3"/>
        <w:keepNext/>
        <w:keepLines/>
        <w:widowControl w:val="1"/>
      </w:pPr>
      <w:r>
        <w:t xml:space="preserve">3.2 The temporal-separation claim (what makes the decomposition non-obvious)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frameworks treat "use the AI well" as one skill or, at most, pair "prompt" with "evaluate."</w:t>
      </w:r>
      <w:r>
        <w:t xml:space="preserve"> </w:t>
      </w:r>
      <w:r>
        <w:t xml:space="preserve">CoReasoning's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 "prompting" hides exactly the</w:t>
      </w:r>
      <w:r>
        <w:t xml:space="preserve"> </w:t>
      </w:r>
      <w:r>
        <w:t xml:space="preserve">distinctions an educator needs.</w:t>
      </w:r>
    </w:p>
    <w:bookmarkEnd w:id="19"/>
    <w:bookmarkStart w:id="20" w:name="Xdb2b1112fd00524e4d1e38ed327bda10bf491fe"/>
    <w:p>
      <w:pPr>
        <w:pStyle w:val="Heading3"/>
        <w:keepNext/>
        <w:keepLines/>
        <w:widowControl w:val="1"/>
      </w:pPr>
      <w:r>
        <w:t xml:space="preserve">3.3 Distinguishing Judging from Steering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 "improve</w:t>
      </w:r>
      <w:r>
        <w:t xml:space="preserve"> </w:t>
      </w:r>
      <w:r>
        <w:t xml:space="preserve">this"), and effectiveness (whether the output actually converges). In the monitor-control terms of</w:t>
      </w:r>
      <w:r>
        <w:t xml:space="preserve"> </w:t>
      </w:r>
      <w:r>
        <w:t xml:space="preserve">Section 3.1, Judging is the monitor's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controller's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skill's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0"/>
    <w:bookmarkEnd w:id="21"/>
    <w:bookmarkStart w:id="22" w:name="X33559beceade9e011829ba0dfd35bbac6035713"/>
    <w:p>
      <w:pPr>
        <w:pStyle w:val="Heading2"/>
        <w:keepNext/>
        <w:keepLines/>
        <w:widowControl w:val="1"/>
      </w:pPr>
      <w:r>
        <w:t xml:space="preserve">4. Theoretical grounding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Zimmerman's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Bloom's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Chinn's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inverts cognitive-apprenticeship coaching and</w:t>
      </w:r>
      <w:r>
        <w:t xml:space="preserve"> </w:t>
      </w:r>
      <w:r>
        <w:t xml:space="preserve">scaffolding (Collins, Brown &amp; Newman, 1989): the learner, not the master, supplies the corrective</w:t>
      </w:r>
      <w:r>
        <w:t xml:space="preserve"> </w:t>
      </w:r>
      <w:r>
        <w:t xml:space="preserve">guidance. Its quality depends on the learner monitoring the work against held standards (Sadler, 1989),</w:t>
      </w:r>
      <w:r>
        <w:t xml:space="preserve"> </w:t>
      </w:r>
      <w:r>
        <w:t xml:space="preserve">and is well described by feed-forward, the "where to next" component of effective feedback</w:t>
      </w:r>
      <w:r>
        <w:t xml:space="preserve"> </w:t>
      </w:r>
      <w:r>
        <w:t xml:space="preserve">(Hattie &amp; Timperley, 2007).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learner's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CoReasoning's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22"/>
    <w:bookmarkStart w:id="23" w:name="Xe47ed403f4ce49fb25f912e3b7155b566fcd076"/>
    <w:p>
      <w:pPr>
        <w:pStyle w:val="Heading2"/>
        <w:keepNext/>
        <w:keepLines/>
        <w:widowControl w:val="1"/>
      </w:pPr>
      <w:r>
        <w:t xml:space="preserve">5. Propositions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 "prompting."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23"/>
    <w:bookmarkStart w:id="24" w:name="X7e2be599b6fb27f7d4655c10155b63b05f9aa9d"/>
    <w:p>
      <w:pPr>
        <w:pStyle w:val="Heading2"/>
        <w:keepNext/>
        <w:keepLines/>
        <w:widowControl w:val="1"/>
      </w:pPr>
      <w:r>
        <w:t xml:space="preserve">6. Relation to prior frameworks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CoReasoning's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 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 "prompting" 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 "prompting" 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learner's model-assigned Framing and Steering grades can diverge.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 "Cyborg" mode of continuous push-back-and-validate (Randazzo et al., 2025) and the sharp</w:t>
      </w:r>
      <w:r>
        <w:t xml:space="preserve"> </w:t>
      </w:r>
      <w:r>
        <w:t xml:space="preserve">skill-dependence of AI's value at the competence frontier (Dell'Acqua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 1 makes the boundary explicit by mapping each nearest prior framework's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 "prompting/iteration" skill.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Prior framework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 (pre-generation)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 (post-generation)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4D AI Fluency (Dakan &amp; Feller, 2025)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Delegation + part of 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Discernment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Description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Metacognitive demands (Tankelevitch et al.,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"prompting" (as a demand, not a skill)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"evaluating outputs"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"workflow iteration"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Prompt literacy / CLEAR (Lo, 2023)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"prompting"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weakly present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"iterative refinement"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AI literacy (Long &amp; Magerko, 2020; UNESCO,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diffuse "critical evaluation"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Cyborg/Centaur modes (Randazzo et al., 2025)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"directed" mode (described, not assessed)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"push back / validate"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"continuous dialogue"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 Rubric-based LLM grading studies</w:t>
      </w:r>
      <w:r>
        <w:t xml:space="preserve"> </w:t>
      </w:r>
      <w:r>
        <w:t xml:space="preserve">report high agreement with human raters (intraclass correlation up to 0.97) yet systematic divergence on</w:t>
      </w:r>
      <w:r>
        <w:t xml:space="preserve"> </w:t>
      </w:r>
      <w:r>
        <w:t xml:space="preserve">subjective criteria (Yavuz et al., 2025); the multitrait-multimethod design we use across three grader</w:t>
      </w:r>
      <w:r>
        <w:t xml:space="preserve"> </w:t>
      </w:r>
      <w:r>
        <w:t xml:space="preserve">backends (Section 8) treats that grader-method variance as a measured term rather than a confound.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 "prompt problems"</w:t>
      </w:r>
      <w:r>
        <w:t xml:space="preserve"> </w:t>
      </w:r>
      <w:r>
        <w:t xml:space="preserve">that require students to specify and evaluate rather than only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Evaluative judgement and named-competency frameworks.</w:t>
      </w:r>
      <w:r>
        <w:t xml:space="preserve"> </w:t>
      </w:r>
      <w:r>
        <w:t xml:space="preserve">The capacity to discern quality,</w:t>
      </w:r>
      <w:r>
        <w:t xml:space="preserve"> </w:t>
      </w:r>
      <w:r>
        <w:rPr>
          <w:i/>
          <w:iCs/>
        </w:rPr>
        <w:t xml:space="preserve">evaluative</w:t>
      </w:r>
      <w:r>
        <w:rPr>
          <w:i/>
          <w:iCs/>
        </w:rPr>
        <w:t xml:space="preserve"> </w:t>
      </w:r>
      <w:r>
        <w:rPr>
          <w:i/>
          <w:iCs/>
        </w:rPr>
        <w:t xml:space="preserve">judgement</w:t>
      </w:r>
      <w:r>
        <w:t xml:space="preserve">, has been argued to be the core human capability for the generative-AI era (Bearman et al.,</w:t>
      </w:r>
      <w:r>
        <w:t xml:space="preserve"> </w:t>
      </w:r>
      <w:r>
        <w:t xml:space="preserve">2024), and students are observed to make continuous in-the-loop accept-and-reject judgements while</w:t>
      </w:r>
      <w:r>
        <w:t xml:space="preserve"> </w:t>
      </w:r>
      <w:r>
        <w:t xml:space="preserve">working with AI on assessment tasks (Walton et al., 2025). Our Judging skill operationalizes evaluative</w:t>
      </w:r>
      <w:r>
        <w:t xml:space="preserve"> </w:t>
      </w:r>
      <w:r>
        <w:t xml:space="preserve">judgement specifically for AI output; CoReasoning then departs from a unified-judgement account by</w:t>
      </w:r>
      <w:r>
        <w:t xml:space="preserve"> </w:t>
      </w:r>
      <w:r>
        <w:t xml:space="preserve">separating it from the generative acts of Framing and Steering, treating evaluation as one of three</w:t>
      </w:r>
      <w:r>
        <w:t xml:space="preserve"> </w:t>
      </w:r>
      <w:r>
        <w:t xml:space="preserve">independently-measurable skills rather than a single overarching disposition. Two findings reinforce</w:t>
      </w:r>
      <w:r>
        <w:t xml:space="preserve"> </w:t>
      </w:r>
      <w:r>
        <w:t xml:space="preserve">that Judging is a separable, demanding construct: critical evaluation is the single highest-load</w:t>
      </w:r>
      <w:r>
        <w:t xml:space="preserve"> </w:t>
      </w:r>
      <w:r>
        <w:t xml:space="preserve">activity in AI-assisted writing (Yao &amp; Fan, 2025), and users default to uncritically accepting AI</w:t>
      </w:r>
      <w:r>
        <w:t xml:space="preserve"> </w:t>
      </w:r>
      <w:r>
        <w:t xml:space="preserve">output absent intervention (Wingerter et al., 2025). Among named competency frameworks, the AI Quotient</w:t>
      </w:r>
      <w:r>
        <w:t xml:space="preserve"> </w:t>
      </w:r>
      <w:r>
        <w:t xml:space="preserve">enumerates eight broad collaboration dimensions (Ganuthula &amp; Balaraman, 2025); CoReasoning instead</w:t>
      </w:r>
      <w:r>
        <w:t xml:space="preserve"> </w:t>
      </w:r>
      <w:r>
        <w:t xml:space="preserve">collapses to three minimal, independently-assessable skills and, crucially, splits the single</w:t>
      </w:r>
      <w:r>
        <w:t xml:space="preserve"> </w:t>
      </w:r>
      <w:r>
        <w:t xml:space="preserve">prompt-engineering dimension that such frameworks leave fused into a pre-generation Framing skill and a</w:t>
      </w:r>
      <w:r>
        <w:t xml:space="preserve"> </w:t>
      </w:r>
      <w:r>
        <w:t xml:space="preserve">post-generation Steering skill. Frameworks that partition coursework by assessment mode rather than by</w:t>
      </w:r>
      <w:r>
        <w:t xml:space="preserve"> </w:t>
      </w:r>
      <w:r>
        <w:t xml:space="preserve">cognitive skill (Elshall &amp; Badir, 2025) are orthogonal and complementary.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24"/>
    <w:bookmarkStart w:id="25" w:name="Xeee0f31b39981a3e100f5aaf50a49be1e1b4285"/>
    <w:p>
      <w:pPr>
        <w:pStyle w:val="Heading2"/>
        <w:keepNext/>
        <w:keepLines/>
        <w:widowControl w:val="1"/>
      </w:pPr>
      <w:r>
        <w:t xml:space="preserve">7. The CoReasoning Lab system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is instantiated in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a runnable open-source web platform, which we</w:t>
      </w:r>
      <w:r>
        <w:t xml:space="preserve"> </w:t>
      </w:r>
      <w:r>
        <w:t xml:space="preserve">describe here so that the abstract skills map onto a concrete learner experience. The platform is a</w:t>
      </w:r>
      <w:r>
        <w:t xml:space="preserve"> </w:t>
      </w:r>
      <w:r>
        <w:t xml:space="preserve">Node/Express application with role-based access (student, instructor, administrator), a challenge</w:t>
      </w:r>
      <w:r>
        <w:t xml:space="preserve"> </w:t>
      </w:r>
      <w:r>
        <w:t xml:space="preserve">database, practice and assessment modes, multiple-choice and open-ended response formats per phase, and</w:t>
      </w:r>
      <w:r>
        <w:t xml:space="preserve"> </w:t>
      </w:r>
      <w:r>
        <w:t xml:space="preserve">a five-language content library (English, Hebrew, German, Spanish, French). Its full source, the web</w:t>
      </w:r>
      <w:r>
        <w:t xml:space="preserve"> </w:t>
      </w:r>
      <w:r>
        <w:t xml:space="preserve">application, the database schema, the content library, and the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 </w:t>
      </w:r>
      <w:r>
        <w:t xml:space="preserve">of sixteen prompts</w:t>
      </w:r>
      <w:r>
        <w:t xml:space="preserve"> </w:t>
      </w:r>
      <w:r>
        <w:t xml:space="preserve">(Section 7.1), is released, alongside a pedagogical-foundations document mapping the design to learning</w:t>
      </w:r>
      <w:r>
        <w:t xml:space="preserve"> </w:t>
      </w:r>
      <w:r>
        <w:t xml:space="preserve">theory. Figures A1 and A2 are screenshots of the running platform. All challenges evaluated in this paper are</w:t>
      </w:r>
      <w:r>
        <w:t xml:space="preserve"> </w:t>
      </w:r>
      <w:r>
        <w:t xml:space="preserve">English-language (Section 11), and the quantitative results come from the scoring engine over controlled</w:t>
      </w:r>
      <w:r>
        <w:t xml:space="preserve"> </w:t>
      </w:r>
      <w:r>
        <w:t xml:space="preserve">inputs rather than from production usage logs.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Because challenge generation, rubric generation, and scoring are themselves prompt-defined, the engine</w:t>
      </w:r>
      <w:r>
        <w:t xml:space="preserve"> </w:t>
      </w:r>
      <w:r>
        <w:t xml:space="preserve">extends to a new subject, language, or grader backend by substitution rather than redesign: the</w:t>
      </w:r>
      <w:r>
        <w:t xml:space="preserve"> </w:t>
      </w:r>
      <w:r>
        <w:t xml:space="preserve">feasibility demonstration exercises it unchanged across ten subjects (Section 8) and two grader models,</w:t>
      </w:r>
      <w:r>
        <w:t xml:space="preserve"> </w:t>
      </w:r>
      <w:r>
        <w:t xml:space="preserve">and the released artifact lets others add their own. The platform is therefore</w:t>
      </w:r>
      <w:r>
        <w:t xml:space="preserve"> </w:t>
      </w:r>
      <w:r>
        <w:rPr>
          <w:b/>
          <w:bCs/>
        </w:rPr>
        <w:t xml:space="preserve">domain-general</w:t>
      </w:r>
      <w:r>
        <w:t xml:space="preserve">: it is</w:t>
      </w:r>
      <w:r>
        <w:t xml:space="preserve"> </w:t>
      </w:r>
      <w:r>
        <w:t xml:space="preserve">not a computing-education tool but a generic instrument for any discipline in which a learner must</w:t>
      </w:r>
      <w:r>
        <w:t xml:space="preserve"> </w:t>
      </w:r>
      <w:r>
        <w:t xml:space="preserve">specify an ill-defined task, judge a fallible solution, and steer it toward a better one. The released</w:t>
      </w:r>
      <w:r>
        <w:t xml:space="preserve"> </w:t>
      </w:r>
      <w:r>
        <w:t xml:space="preserve">content already spans</w:t>
      </w:r>
      <w:r>
        <w:t xml:space="preserve"> </w:t>
      </w:r>
      <w:r>
        <w:rPr>
          <w:b/>
          <w:bCs/>
        </w:rPr>
        <w:t xml:space="preserve">twelve disciplines</w:t>
      </w:r>
      <w:r>
        <w:t xml:space="preserve"> </w:t>
      </w:r>
      <w:r>
        <w:t xml:space="preserve">across STEM, the social sciences, the humanities, law, and</w:t>
      </w:r>
      <w:r>
        <w:t xml:space="preserve"> </w:t>
      </w:r>
      <w:r>
        <w:t xml:space="preserve">professional and education fields, from algorithms and classical mechanics to constitutional law,</w:t>
      </w:r>
      <w:r>
        <w:t xml:space="preserve"> </w:t>
      </w:r>
      <w:r>
        <w:t xml:space="preserve">applied ethics, and instructional design (Appendix C). An educator in any of these fields authors a</w:t>
      </w:r>
      <w:r>
        <w:t xml:space="preserve"> </w:t>
      </w:r>
      <w:r>
        <w:t xml:space="preserve">challenge by naming a subject; the system generates the ill-defined problem, the three per-skill</w:t>
      </w:r>
      <w:r>
        <w:t xml:space="preserve"> </w:t>
      </w:r>
      <w:r>
        <w:t xml:space="preserve">rubrics, and the seeded-flaw solution. The monitor-control scaffold is likewise open to</w:t>
      </w:r>
      <w:r>
        <w:t xml:space="preserve"> </w:t>
      </w:r>
      <w:r>
        <w:t xml:space="preserve">additional skills where a setting calls for them; the three are a deliberately small decomposition that</w:t>
      </w:r>
      <w:r>
        <w:t xml:space="preserve"> </w:t>
      </w:r>
      <w:r>
        <w:t xml:space="preserve">separates pre-generation, evaluative, and post-generation control. The released instrument is therefore</w:t>
      </w:r>
      <w:r>
        <w:t xml:space="preserve"> </w:t>
      </w:r>
      <w:r>
        <w:t xml:space="preserve">usable as a starting point for others to extend, not only to reproduce.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7.1).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framework's two phases (Figure A1):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framework's central claim made operational: a learner sees, and is scored on, three</w:t>
      </w:r>
      <w:r>
        <w:t xml:space="preserve"> </w:t>
      </w:r>
      <w:r>
        <w:t xml:space="preserve">different things they did, not one undifferentiated "AI use." The remainder of this section describes</w:t>
      </w:r>
      <w:r>
        <w:t xml:space="preserve"> </w:t>
      </w:r>
      <w:r>
        <w:t xml:space="preserve">the instrument that produces those scores.</w:t>
      </w:r>
    </w:p>
    <w:bookmarkEnd w:id="25"/>
    <w:bookmarkStart w:id="26" w:name="X3d8be0d8bf4ad30b87d3536652355afd0bfa982"/>
    <w:p>
      <w:pPr>
        <w:pStyle w:val="Heading2"/>
        <w:keepNext/>
        <w:keepLines/>
        <w:widowControl w:val="1"/>
      </w:pPr>
      <w:r>
        <w:t xml:space="preserve">7.1 Operationalization: a proof-of-concept instrument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learner's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 "best</w:t>
      </w:r>
      <w:r>
        <w:t xml:space="preserve"> </w:t>
      </w:r>
      <w:r>
        <w:t xml:space="preserve">framing" 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learner's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learner's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instrument used in this paper is the scoring engine of the CoReasoning Lab platform, a library</w:t>
      </w:r>
      <w:r>
        <w:t xml:space="preserve"> </w:t>
      </w:r>
      <w:r>
        <w:t xml:space="preserve">of sixteen prompts spanning challenge construction, AI generation, and evaluation (Figure A3 traces the full</w:t>
      </w:r>
      <w:r>
        <w:t xml:space="preserve"> </w:t>
      </w:r>
      <w:r>
        <w:t xml:space="preserve">generation-and-assessment pipeline). The released library</w:t>
      </w:r>
      <w:r>
        <w:t xml:space="preserve"> </w:t>
      </w:r>
      <w:r>
        <w:t xml:space="preserve">carries the platform's evaluation logic verbatim, the same rubrics, criteria, and system prompts as the</w:t>
      </w:r>
      <w:r>
        <w:t xml:space="preserve"> </w:t>
      </w:r>
      <w:r>
        <w:t xml:space="preserve">deployed application; the only adaptation is that JSON output formatting is supplied by the research</w:t>
      </w:r>
      <w:r>
        <w:t xml:space="preserve"> </w:t>
      </w:r>
      <w:r>
        <w:t xml:space="preserve">harness rather than embedded in each prompt. The surrounding harness (simulated-learner generation, the</w:t>
      </w:r>
      <w:r>
        <w:t xml:space="preserve"> </w:t>
      </w:r>
      <w:r>
        <w:t xml:space="preserve">crossed factorial, and the analysis) is research orchestration around that fixed evaluation logic, not a</w:t>
      </w:r>
      <w:r>
        <w:t xml:space="preserve"> </w:t>
      </w:r>
      <w:r>
        <w:t xml:space="preserve">reimplementation of it, so the measurements characterize the instrument itself.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scope note: the grader is a language model, so the results below characterize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</w:t>
      </w:r>
      <w:r>
        <w:t xml:space="preserve"> </w:t>
      </w:r>
      <w:r>
        <w:t xml:space="preserve">of the instrument (whether it separates controlled competence levels and dissociates the skills);</w:t>
      </w:r>
      <w:r>
        <w:t xml:space="preserve"> </w:t>
      </w:r>
      <w:r>
        <w:t xml:space="preserve">agreement with human experts is the separate validity question the prepared study in Section 10</w:t>
      </w:r>
      <w:r>
        <w:t xml:space="preserve"> </w:t>
      </w:r>
      <w:r>
        <w:t xml:space="preserve">addresses.</w:t>
      </w:r>
    </w:p>
    <w:bookmarkEnd w:id="26"/>
    <w:bookmarkStart w:id="33" w:name="X4d8e342cb22c9aa3a4677d1e6b5af262e28c318"/>
    <w:p>
      <w:pPr>
        <w:pStyle w:val="Heading2"/>
        <w:keepNext/>
        <w:keepLines/>
        <w:widowControl w:val="1"/>
      </w:pPr>
      <w:r>
        <w:t xml:space="preserve">8. Feasibility demonstration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The "learners" are simulated personas of controlled per-skill</w:t>
      </w:r>
      <w:r>
        <w:t xml:space="preserve"> </w:t>
      </w:r>
      <w:r>
        <w:t xml:space="preserve">competence, 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</w:t>
      </w:r>
      <w:r>
        <w:t xml:space="preserve"> </w:t>
      </w:r>
      <w:r>
        <w:t xml:space="preserve">model grades its own output. These claims concern the instrument; the agreement study with human expert</w:t>
      </w:r>
      <w:r>
        <w:t xml:space="preserve"> </w:t>
      </w:r>
      <w:r>
        <w:t xml:space="preserve">graders is prepared and is the next stage (Section 10).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(algorithms, microeconomics, machine learning, databases, statistics, operating systems,</w:t>
      </w:r>
      <w:r>
        <w:t xml:space="preserve"> </w:t>
      </w:r>
      <w:r>
        <w:t xml:space="preserve">calculus, organic chemistry, linguistics, and corporate finance), for 80 simulated learners. Framing</w:t>
      </w:r>
      <w:r>
        <w:t xml:space="preserve"> </w:t>
      </w:r>
      <w:r>
        <w:t xml:space="preserve">and Steering responses are generated by the competence-conditioned learner model; Judging is operationalized by a competence-conditioned</w:t>
      </w:r>
      <w:r>
        <w:t xml:space="preserve"> </w:t>
      </w:r>
      <w:r>
        <w:t xml:space="preserve">selection over the challenge's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Judging's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skill's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skills' competence (dissociation).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skill's grade rises when that skill is</w:t>
      </w:r>
      <w:r>
        <w:t xml:space="preserve"> </w:t>
      </w:r>
      <w:r>
        <w:t xml:space="preserve">set to strong. The judging signal is mechanistically transparent: a strong judge flags all of the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result</w:t>
      </w:r>
      <w:r>
        <w:t xml:space="preserve"> </w:t>
      </w:r>
      <w:r>
        <w:t xml:space="preserve">that carries the claim is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</w:t>
      </w:r>
      <w:r>
        <w:t xml:space="preserve"> </w:t>
      </w:r>
      <w:r>
        <w:t xml:space="preserve">the grader scores without knowing the intended competence: each shows a clear positive own-effect</w:t>
      </w:r>
      <w:r>
        <w:t xml:space="preserve"> </w:t>
      </w:r>
      <w:r>
        <w:t xml:space="preserve">(</w:t>
      </w:r>
      <w:r>
        <w:rPr>
          <w:b/>
          <w:bCs/>
        </w:rPr>
        <w:t xml:space="preserve">+0.62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+0.43</w:t>
      </w:r>
      <w:r>
        <w:t xml:space="preserve">) with near-zero cross-effects, so a simulated learner's two free-text grades</w:t>
      </w:r>
      <w:r>
        <w:t xml:space="preserve"> </w:t>
      </w:r>
      <w:r>
        <w:t xml:space="preserve">move independently. Judging's own-effect (</w:t>
      </w:r>
      <w:r>
        <w:rPr>
          <w:b/>
          <w:bCs/>
        </w:rPr>
        <w:t xml:space="preserve">+2.00</w:t>
      </w:r>
      <w:r>
        <w:t xml:space="preserve">) is large but</w:t>
      </w:r>
      <w:r>
        <w:t xml:space="preserve"> </w:t>
      </w:r>
      <w:r>
        <w:rPr>
          <w:i/>
          <w:iCs/>
        </w:rPr>
        <w:t xml:space="preserve">fixed by construction</w:t>
      </w:r>
      <w:r>
        <w:t xml:space="preserve">: its</w:t>
      </w:r>
      <w:r>
        <w:t xml:space="preserve"> </w:t>
      </w:r>
      <w:r>
        <w:t xml:space="preserve">competence is operationalized by a controlled selection over the challenge's seeded issues, and those</w:t>
      </w:r>
      <w:r>
        <w:t xml:space="preserve"> </w:t>
      </w:r>
      <w:r>
        <w:t xml:space="preserve">seeded issues are themselves machine-generated and not yet human-verified (Section 11). We therefore</w:t>
      </w:r>
      <w:r>
        <w:t xml:space="preserve"> </w:t>
      </w:r>
      <w:r>
        <w:t xml:space="preserve">read Judging's clean diagonal as a controlled check that the grader correctly rewards recall and</w:t>
      </w:r>
      <w:r>
        <w:t xml:space="preserve"> </w:t>
      </w:r>
      <w:r>
        <w:t xml:space="preserve">precision, not as independent evidence that the skills separate. The off-diagonal (cross-skill) effects</w:t>
      </w:r>
      <w:r>
        <w:t xml:space="preserve"> </w:t>
      </w:r>
      <w:r>
        <w:t xml:space="preserve">average +0.01 across the matrix, so each grade responds to its own skill and is essentially flat in the</w:t>
      </w:r>
      <w:r>
        <w:t xml:space="preserve"> </w:t>
      </w:r>
      <w:r>
        <w:t xml:space="preserve">others (Figure 3).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2. Effect on each skill's grade of manipulating each skill's competence (grade Δ, strong − weak; N=80).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grade of ↓ \ manipulated →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Framing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+2.00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Steering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+0.43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With only three indicators a formal factor model is</w:t>
      </w:r>
      <w:r>
        <w:t xml:space="preserve"> </w:t>
      </w:r>
      <w:r>
        <w:t xml:space="preserve">under-identified, so we rest the separability evidence on the manipulation-based effect matrix and the</w:t>
      </w:r>
      <w:r>
        <w:t xml:space="preserve"> </w:t>
      </w:r>
      <w:r>
        <w:t xml:space="preserve">inter-skill correlations rather than on a confirmatory dimensionality test.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Convergent and discriminant validity (a multitrait-multimethod view).</w:t>
      </w:r>
      <w:r>
        <w:t xml:space="preserve"> </w:t>
      </w:r>
      <w:r>
        <w:t xml:space="preserve">The result so far is a</w:t>
      </w:r>
      <w:r>
        <w:t xml:space="preserve"> </w:t>
      </w:r>
      <w:r>
        <w:rPr>
          <w:i/>
          <w:iCs/>
        </w:rPr>
        <w:t xml:space="preserve">discriminant</w:t>
      </w:r>
      <w:r>
        <w:t xml:space="preserve">-validity finding: three skills (traits) separate. Construct validity also requires the</w:t>
      </w:r>
      <w:r>
        <w:t xml:space="preserve"> </w:t>
      </w:r>
      <w:r>
        <w:t xml:space="preserve">complementary</w:t>
      </w:r>
      <w:r>
        <w:t xml:space="preserve"> </w:t>
      </w:r>
      <w:r>
        <w:rPr>
          <w:i/>
          <w:iCs/>
        </w:rPr>
        <w:t xml:space="preserve">convergent</w:t>
      </w:r>
      <w:r>
        <w:t xml:space="preserve"> </w:t>
      </w:r>
      <w:r>
        <w:t xml:space="preserve">property, that the same skill measured by different methods agrees, and that</w:t>
      </w:r>
      <w:r>
        <w:t xml:space="preserve"> </w:t>
      </w:r>
      <w:r>
        <w:t xml:space="preserve">the instrument reports correlation when the underlying competence really is shared (Campbell &amp; Fiske,</w:t>
      </w:r>
      <w:r>
        <w:t xml:space="preserve"> </w:t>
      </w:r>
      <w:r>
        <w:t xml:space="preserve">1959). Two analyses supply it. First, treating the three grader backends as independent methods, the</w:t>
      </w:r>
      <w:r>
        <w:t xml:space="preserve"> </w:t>
      </w:r>
      <w:r>
        <w:t xml:space="preserve">same skill graded by gpt-4o, gpt-4o-mini, and the independent-vendor llama-3.3-70b agrees at the</w:t>
      </w:r>
      <w:r>
        <w:t xml:space="preserve"> </w:t>
      </w:r>
      <w:r>
        <w:t xml:space="preserve">per-learner level for the two skills with the widest grade range (mean pairwise rank correlation +0.57</w:t>
      </w:r>
      <w:r>
        <w:t xml:space="preserve"> </w:t>
      </w:r>
      <w:r>
        <w:t xml:space="preserve">for Framing and +0.67 for Judging across the 40 shared transcripts), while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skills stay near</w:t>
      </w:r>
      <w:r>
        <w:t xml:space="preserve"> </w:t>
      </w:r>
      <w:r>
        <w:t xml:space="preserve">zero, the convergent-high / discriminant-low pattern a valid measure should show; Steering's narrower</w:t>
      </w:r>
      <w:r>
        <w:t xml:space="preserve"> </w:t>
      </w:r>
      <w:r>
        <w:t xml:space="preserve">range under the P2 ceiling yields a lower cross-method correlation (+0.21), a restriction of variance</w:t>
      </w:r>
      <w:r>
        <w:t xml:space="preserve"> </w:t>
      </w:r>
      <w:r>
        <w:t xml:space="preserve">rather than a separate construct. Laid out as the full multitrait-multimethod matrix, the convergent</w:t>
      </w:r>
      <w:r>
        <w:t xml:space="preserve"> </w:t>
      </w:r>
      <w:r>
        <w:t xml:space="preserve">correlations (same skill across graders, mean +0.49) exceed both the heterotrait-monomethod correlations</w:t>
      </w:r>
      <w:r>
        <w:t xml:space="preserve"> </w:t>
      </w:r>
      <w:r>
        <w:t xml:space="preserve">(different skills within one grader, mean +0.08) and the heterotrait-heteromethod correlations (mean</w:t>
      </w:r>
      <w:r>
        <w:t xml:space="preserve"> </w:t>
      </w:r>
      <w:r>
        <w:t xml:space="preserve">+0.06); no grader shows halo (within-grader cross-skill mean</w:t>
      </w:r>
      <w:r>
        <w:t xml:space="preserve"> </w:t>
      </w:r>
      <m:oMath>
        <m:r>
          <m:rPr>
            <m:sty m:val="p"/>
          </m:rPr>
          <m:t>|</m:t>
        </m:r>
        <m:r>
          <m:t>ρ</m:t>
        </m:r>
        <m:r>
          <m:rPr>
            <m:sty m:val="p"/>
          </m:rPr>
          <m:t>|</m:t>
        </m:r>
      </m:oMath>
      <w:r>
        <w:t xml:space="preserve"> </w:t>
      </w:r>
      <w:r>
        <w:t xml:space="preserve">of 0.13, 0.18, 0.13 for the three</w:t>
      </w:r>
      <w:r>
        <w:t xml:space="preserve"> </w:t>
      </w:r>
      <w:r>
        <w:t xml:space="preserve">backends), so all three Campbell-Fiske criteria hold. Second, the instrument is faithful to the population's dependence</w:t>
      </w:r>
      <w:r>
        <w:t xml:space="preserve"> </w:t>
      </w:r>
      <w:r>
        <w:t xml:space="preserve">structure: on learners whose three competences are set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 </w:t>
      </w:r>
      <w:r>
        <w:t xml:space="preserve">(the full crossed design) the</w:t>
      </w:r>
      <w:r>
        <w:t xml:space="preserve"> </w:t>
      </w:r>
      <w:r>
        <w:t xml:space="preserve">inter-skill grade correlations are near zero (mean</w:t>
      </w:r>
      <w:r>
        <w:t xml:space="preserve"> </w:t>
      </w:r>
      <m:oMath>
        <m:r>
          <m:rPr>
            <m:sty m:val="p"/>
          </m:rPr>
          <m:t>|</m:t>
        </m:r>
        <m:r>
          <m:t>ρ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0.13</m:t>
        </m:r>
      </m:oMath>
      <w:r>
        <w:t xml:space="preserve">;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</w:t>
      </w:r>
      <w:r>
        <w:t xml:space="preserve"> </w:t>
      </w:r>
      <w:r>
        <w:t xml:space="preserve">whereas on the 20 learners whose three competences are all set strong or all set weak (a single shared</w:t>
      </w:r>
      <w:r>
        <w:t xml:space="preserve"> </w:t>
      </w:r>
      <w:r>
        <w:t xml:space="preserve">ability level) the same instrument returns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correlations (mean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0.41</m:t>
        </m:r>
      </m:oMath>
      <w:r>
        <w:t xml:space="preserve">;</w:t>
      </w:r>
      <w:r>
        <w:t xml:space="preserve"> </w:t>
      </w:r>
      <w:r>
        <w:t xml:space="preserve">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0.52</m:t>
        </m:r>
      </m:oMath>
      <w:r>
        <w:t xml:space="preserve">). The instrument therefore does not</w:t>
      </w:r>
      <w:r>
        <w:t xml:space="preserve"> </w:t>
      </w:r>
      <w:r>
        <w:t xml:space="preserve">manufacture dissociation: it recovers independence when the competences are independent and correlation</w:t>
      </w:r>
      <w:r>
        <w:t xml:space="preserve"> </w:t>
      </w:r>
      <w:r>
        <w:t xml:space="preserve">when they are shared, which is what licenses reading the crossed-design separation as a property of the</w:t>
      </w:r>
      <w:r>
        <w:t xml:space="preserve"> </w:t>
      </w:r>
      <w:r>
        <w:t xml:space="preserve">skills rather than of the scoring (Table 3).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3. Multitrait-multimethod validity.</w:t>
      </w:r>
      <w:r>
        <w:t xml:space="preserve"> </w:t>
      </w:r>
      <w:r>
        <w:t xml:space="preserve">Panel A: convergent agreement of the same skill across</w:t>
      </w:r>
      <w:r>
        <w:t xml:space="preserve"> </w:t>
      </w:r>
      <w:r>
        <w:t xml:space="preserve">the three grader backends (mean pairwise per-learner rank correlation on the 40 shared transcripts).</w:t>
      </w:r>
      <w:r>
        <w:t xml:space="preserve"> </w:t>
      </w:r>
      <w:r>
        <w:t xml:space="preserve">Panel B: inter-skill grade correlation by population, showing the instrument recovers the population's</w:t>
      </w:r>
      <w:r>
        <w:t xml:space="preserve"> </w:t>
      </w:r>
      <w:r>
        <w:t xml:space="preserve">dependence structure (discriminant on the full crossed design, convergent on the n=20 all-strong and</w:t>
      </w:r>
      <w:r>
        <w:t xml:space="preserve"> </w:t>
      </w:r>
      <w:r>
        <w:t xml:space="preserve">all-weak learners whose three competences share one level).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Panel A: cross-grader convergent (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b/>
                <w:sz w:val="19"/>
              </w:rPr>
              <w:t xml:space="preserve">, 3 backends)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same skill across gpt-4o, gpt-4o-mini, llama-3.3-70b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+0.21</w:t>
            </w:r>
          </w:p>
        </w:tc>
      </w:tr>
    </w:tbl>
    <w:p/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Panel B: inter-skill</w:t>
            </w:r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r>
              <w:rPr>
                <w:rFonts w:ascii="Times New Roman" w:hAnsi="Times New Roman"/>
                <w:b/>
                <w:sz w:val="19"/>
              </w:rPr>
              <w:t xml:space="preserve">by population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F-J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summary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independent (crossed) competences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ρ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= 0.13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shared single-ability level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+0.14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= +0.41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own-skill effects are directionally consistent across subjects: broken down by the ten subject</w:t>
      </w:r>
      <w:r>
        <w:t xml:space="preserve"> </w:t>
      </w:r>
      <w:r>
        <w:t xml:space="preserve">areas (eight learners each), Framing and Steering each show a positive own-competence effect in nine of</w:t>
      </w:r>
      <w:r>
        <w:t xml:space="preserve"> </w:t>
      </w:r>
      <w:r>
        <w:t xml:space="preserve">ten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own-competence effect is therefore not driven by any single domain; the pooled own-effects</w:t>
      </w:r>
      <w:r>
        <w:t xml:space="preserve"> </w:t>
      </w:r>
      <w:r>
        <w:t xml:space="preserve">and their confidence intervals above carry the estimate, and the per-subject pattern shows it holds</w:t>
      </w:r>
      <w:r>
        <w:t xml:space="preserve"> </w:t>
      </w:r>
      <w:r>
        <w:t xml:space="preserve">broadly across the curriculum. The designed-contrast personas make the separation concrete (Figure 4, which plots five</w:t>
      </w:r>
      <w:r>
        <w:t xml:space="preserve"> </w:t>
      </w:r>
      <w:r>
        <w:t xml:space="preserve">profiles). Three are especially telling: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</w:t>
      </w:r>
      <w:r>
        <w:t xml:space="preserve"> </w:t>
      </w:r>
      <w:r>
        <w:t xml:space="preserve">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 B, Judging C; and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 "AI-use</w:t>
      </w:r>
      <w:r>
        <w:t xml:space="preserve"> </w:t>
      </w:r>
      <w:r>
        <w:t xml:space="preserve">ability" cannot produce these crossed profiles. Converging evidence comes from outside our synthetic</w:t>
      </w:r>
      <w:r>
        <w:t xml:space="preserve"> </w:t>
      </w:r>
      <w:r>
        <w:t xml:space="preserve">setting. In an intervention study, students'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 queries,</w:t>
      </w:r>
      <w:r>
        <w:t xml:space="preserve"> </w:t>
      </w:r>
      <w:r>
        <w:t xml:space="preserve">checking correctness) predicts effective use, whereas self-rated AI expertise does not (Clerc et al.,</w:t>
      </w:r>
      <w:r>
        <w:t xml:space="preserve"> </w:t>
      </w:r>
      <w:r>
        <w:t xml:space="preserve">2026). The skill of working with AI is thus distinct from a general, self-assessed competence.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4600754" cy="3864633"/>
            <wp:effectExtent b="0" l="0" r="0" t="0"/>
            <wp:docPr descr="Figure 3. Own-competence effects dominate cross-competence effects on every skill's grade." title="" id="28" name="Picture"/>
            <a:graphic>
              <a:graphicData uri="http://schemas.openxmlformats.org/drawingml/2006/picture">
                <pic:pic>
                  <pic:nvPicPr>
                    <pic:cNvPr descr="assets/fig_dissociation_heatma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3. Effect of manipulating each skill's competence (columns) on each skill's grade (rows). Each</w:t>
      </w:r>
      <w:r>
        <w:rPr>
          <w:i/>
          <w:iCs/>
        </w:rPr>
        <w:t xml:space="preserve"> </w:t>
      </w:r>
      <w:r>
        <w:rPr>
          <w:i/>
          <w:iCs/>
        </w:rPr>
        <w:t xml:space="preserve">cell is the grade change (strong minus weak) on the 3-point scale (A=3, B=2, C=1); warmer cells are</w:t>
      </w:r>
      <w:r>
        <w:rPr>
          <w:i/>
          <w:iCs/>
        </w:rPr>
        <w:t xml:space="preserve"> </w:t>
      </w:r>
      <w:r>
        <w:rPr>
          <w:i/>
          <w:iCs/>
        </w:rPr>
        <w:t xml:space="preserve">larger positive effects. The diagonal (own-skill effect) dominates; off-diagonal (cross-skill) effects</w:t>
      </w:r>
      <w:r>
        <w:rPr>
          <w:i/>
          <w:iCs/>
        </w:rPr>
        <w:t xml:space="preserve"> </w:t>
      </w:r>
      <w:r>
        <w:rPr>
          <w:i/>
          <w:iCs/>
        </w:rPr>
        <w:t xml:space="preserve">are near zero.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302000"/>
            <wp:effectExtent b="0" l="0" r="0" t="0"/>
            <wp:docPr descr="Figure 4. Per-skill grades dissociate by competence profile." title="" id="31" name="Picture"/>
            <a:graphic>
              <a:graphicData uri="http://schemas.openxmlformats.org/drawingml/2006/picture">
                <pic:pic>
                  <pic:nvPicPr>
                    <pic:cNvPr descr="assets/fig_contras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4.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Robustness and ablations.</w:t>
      </w:r>
      <w:r>
        <w:t xml:space="preserve"> </w:t>
      </w:r>
      <w:r>
        <w:t xml:space="preserve">Three checks, reported in full in Appendix B, support the result: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on repeat (a precision check, not accuracy against humans); the dissociation replicates across three grader backends spanning two providers (gpt-4o, gpt-4o-mini, and Meta's llama-3.3-70b; diagonal-to-off-diagonal ratio 39), so it does not hinge on one model snapshot; and a ground-truth ablation shows Framing and Steering are scored by rubric-guided model judgment while Judging, as instrumented, tracks the seeded answer key, which locates the Judging score to settings with known ground truth (Section 10 specifies the open-ended variant).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Scope.</w:t>
      </w:r>
      <w:r>
        <w:t xml:space="preserve"> </w:t>
      </w:r>
      <w:r>
        <w:t xml:space="preserve">These results establish feasibility. (i) Judging's clean diagonal (+2.00, zero cross-effects)</w:t>
      </w:r>
      <w:r>
        <w:t xml:space="preserve"> </w:t>
      </w:r>
      <w:r>
        <w:t xml:space="preserve">is a controlled check by design: its competence is set by a controlled selection over the seeded</w:t>
      </w:r>
      <w:r>
        <w:t xml:space="preserve"> </w:t>
      </w:r>
      <w:r>
        <w:t xml:space="preserve">issues, so the diagonal confirms that the grader correctly rewards recall and precision, and the</w:t>
      </w:r>
      <w:r>
        <w:t xml:space="preserve"> </w:t>
      </w:r>
      <w:r>
        <w:t xml:space="preserve">independent separation evidence is carried by the free-text, blind-graded skills, Framing and Steering,</w:t>
      </w:r>
      <w:r>
        <w:t xml:space="preserve"> </w:t>
      </w:r>
      <w:r>
        <w:t xml:space="preserve">whose positive own-effects (+0.62, +0.43) with near-zero cross-effects drive the result. (ii) The</w:t>
      </w:r>
      <w:r>
        <w:t xml:space="preserve"> </w:t>
      </w:r>
      <w:r>
        <w:t xml:space="preserve">dissociation replicates across grader backends spanning two providers (Appendix B); agreement with</w:t>
      </w:r>
      <w:r>
        <w:t xml:space="preserve"> </w:t>
      </w:r>
      <w:r>
        <w:t xml:space="preserve">human experts is the validity step the prepared study in Section 10 supplies.</w:t>
      </w:r>
      <w:r>
        <w:t xml:space="preserve"> </w:t>
      </w:r>
      <w:r>
        <w:t xml:space="preserve">(iii) With three constructs the separability evidence rests on the manipulation-based effect matrix and</w:t>
      </w:r>
      <w:r>
        <w:t xml:space="preserve"> </w:t>
      </w:r>
      <w:r>
        <w:t xml:space="preserve">the inter-skill correlations, the appropriate tests for the design. (iv) Steering's own-effect (+0.43</w:t>
      </w:r>
      <w:r>
        <w:t xml:space="preserve"> </w:t>
      </w:r>
      <w:r>
        <w:t xml:space="preserve">at N=80) is governed by the P2 ceiling by design: steering quality is bounded by the judging that</w:t>
      </w:r>
      <w:r>
        <w:t xml:space="preserve"> </w:t>
      </w:r>
      <w:r>
        <w:t xml:space="preserve">precedes it, so manipulating steering alone has bounded headroom. This is a property of the construct,</w:t>
      </w:r>
      <w:r>
        <w:t xml:space="preserve"> </w:t>
      </w:r>
      <w:r>
        <w:t xml:space="preserve">not of the grader: under a deliberately strict steering rubric (a C for vague or non-prioritized</w:t>
      </w:r>
      <w:r>
        <w:t xml:space="preserve"> </w:t>
      </w:r>
      <w:r>
        <w:t xml:space="preserve">commands) the steering own-effect is unchanged (+0.40 versus +0.50, statistically indistinguishable)</w:t>
      </w:r>
      <w:r>
        <w:t xml:space="preserve"> </w:t>
      </w:r>
      <w:r>
        <w:t xml:space="preserve">and the dissociation persists (ratio 27.5). Human steering data will trace this ceiling directly.</w:t>
      </w:r>
    </w:p>
    <w:bookmarkEnd w:id="33"/>
    <w:bookmarkStart w:id="34" w:name="Xa46466f38120f8ee74cb65c819a5bdd7729dab3"/>
    <w:p>
      <w:pPr>
        <w:pStyle w:val="Heading2"/>
        <w:keepNext/>
        <w:keepLines/>
        <w:widowControl w:val="1"/>
      </w:pPr>
      <w:r>
        <w:t xml:space="preserve">9. Tensions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mature account must confront four tensions rather than paper over them.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learner's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 Whether exercising the loop actually reduces the offloading</w:t>
      </w:r>
      <w:r>
        <w:t xml:space="preserve"> </w:t>
      </w:r>
      <w:r>
        <w:t xml:space="preserve">signatures is an empirical question this paper does not test; it is reserved for the efficacy study of</w:t>
      </w:r>
      <w:r>
        <w:t xml:space="preserve"> </w:t>
      </w:r>
      <w:r>
        <w:t xml:space="preserve">Section 10.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framework's applicability at the</w:t>
      </w:r>
      <w:r>
        <w:t xml:space="preserve"> </w:t>
      </w:r>
      <w:r>
        <w:t xml:space="preserve">expert frontier.</w:t>
      </w:r>
    </w:p>
    <w:bookmarkEnd w:id="34"/>
    <w:bookmarkStart w:id="35" w:name="Xba3f6dd9d03393d7b20e910759a94d79249c978"/>
    <w:p>
      <w:pPr>
        <w:pStyle w:val="Heading2"/>
        <w:keepNext/>
        <w:keepLines/>
        <w:widowControl w:val="1"/>
      </w:pPr>
      <w:r>
        <w:t xml:space="preserve">10. A validation and assessment agenda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First, an instrument-validity study, built and ready to run. Three blind expert raters re-grade a</w:t>
      </w:r>
      <w:r>
        <w:t xml:space="preserve"> </w:t>
      </w:r>
      <w:r>
        <w:t xml:space="preserve">stratified sample of 40 transcripts (covering all eight competence profiles) on the three skills using</w:t>
      </w:r>
      <w:r>
        <w:t xml:space="preserve"> </w:t>
      </w:r>
      <w:r>
        <w:t xml:space="preserve">the per-skill rubrics; inter-rater reliability is reported as ordinal Krippendorff's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(primary,</w:t>
      </w:r>
      <w:r>
        <w:t xml:space="preserve"> </w:t>
      </w:r>
      <w:r>
        <w:t xml:space="preserve">since the grades are ordinal), Fleiss'</w:t>
      </w:r>
      <w:r>
        <w:t xml:space="preserve"> </w:t>
      </w:r>
      <m:oMath>
        <m:r>
          <m:t>κ</m:t>
        </m:r>
      </m:oMath>
      <w:r>
        <w:t xml:space="preserve">, and pairwise Cohen's</w:t>
      </w:r>
      <w:r>
        <w:t xml:space="preserve"> </w:t>
      </w:r>
      <m:oMath>
        <m:r>
          <m:t>κ</m:t>
        </m:r>
      </m:oMath>
      <w:r>
        <w:t xml:space="preserve">, and agreement of the</w:t>
      </w:r>
      <w:r>
        <w:t xml:space="preserve"> </w:t>
      </w:r>
      <w:r>
        <w:t xml:space="preserve">human majority with the automated grade as Cohen's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and ordinal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With all three raters scoring the same 40 items the agreement</w:t>
      </w:r>
      <w:r>
        <w:t xml:space="preserve"> </w:t>
      </w:r>
      <w:r>
        <w:t xml:space="preserve">estimate has a bootstrap half-width on the order of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, enough to place each skill inside or</w:t>
      </w:r>
      <w:r>
        <w:t xml:space="preserve"> </w:t>
      </w:r>
      <w:r>
        <w:t xml:space="preserve">outside that band.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Fleiss'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are validated against humans rather than assumed reliable.</w:t>
      </w:r>
      <w:r>
        <w:t xml:space="preserve"> </w:t>
      </w:r>
      <w:r>
        <w:t xml:space="preserve">The package confronts the recursive calibration threat (who grades the grader) on a second level: because</w:t>
      </w:r>
      <w:r>
        <w:t xml:space="preserve"> </w:t>
      </w:r>
      <w:r>
        <w:t xml:space="preserve">the Judging construct rests on machine-seeded ground-truth issues, a parallel task has the same three</w:t>
      </w:r>
      <w:r>
        <w:t xml:space="preserve"> </w:t>
      </w:r>
      <w:r>
        <w:t xml:space="preserve">raters verify a balanced set of 40 seeded issues (20 real and 20 distractor controls) as genuine flaws,</w:t>
      </w:r>
      <w:r>
        <w:t xml:space="preserve"> </w:t>
      </w:r>
      <w:r>
        <w:t xml:space="preserve">yielding a confirmation rate for the Judging ground truth before its recall/precision signal is trusted.</w:t>
      </w:r>
      <w:r>
        <w:t xml:space="preserve"> </w:t>
      </w:r>
      <w:r>
        <w:t xml:space="preserve">The full package, codebook, per-rater shuffled task files with hidden ground truth, and seed-fixed</w:t>
      </w:r>
      <w:r>
        <w:t xml:space="preserve"> </w:t>
      </w:r>
      <w:r>
        <w:t xml:space="preserve">agreement-scoring scripts, is released and reproducible, so the study runs directly once raters are</w:t>
      </w:r>
      <w:r>
        <w:t xml:space="preserve"> </w:t>
      </w:r>
      <w:r>
        <w:t xml:space="preserve">recruited. Second, a construct-validity</w:t>
      </w:r>
      <w:r>
        <w:t xml:space="preserve"> </w:t>
      </w:r>
      <w:r>
        <w:t xml:space="preserve">study at scale (target of at least 200 real learners) to test Propositions P1 through P4, examining</w:t>
      </w:r>
      <w:r>
        <w:t xml:space="preserve"> </w:t>
      </w:r>
      <w:r>
        <w:t xml:space="preserve">whether Framing, Judging, and Steering dissociate across a learner population and whether the proposed</w:t>
      </w:r>
      <w:r>
        <w:t xml:space="preserve"> </w:t>
      </w:r>
      <w:r>
        <w:t xml:space="preserve">gating relations hold. Third, a grader-robustness study across multiple model backends to separate the framework's</w:t>
      </w:r>
      <w:r>
        <w:t xml:space="preserve"> </w:t>
      </w:r>
      <w:r>
        <w:t xml:space="preserve">signal from any single model's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Beyond validity, the framework opens a research program, and one strand can begin before the human</w:t>
      </w:r>
      <w:r>
        <w:t xml:space="preserve"> </w:t>
      </w:r>
      <w:r>
        <w:t xml:space="preserve">studies: external validity can be probed by scoring a released corpus of real student-LLM dialogue, the</w:t>
      </w:r>
      <w:r>
        <w:t xml:space="preserve"> </w:t>
      </w:r>
      <w:r>
        <w:t xml:space="preserve">StudyChat dataset of 16,851 student-ChatGPT interactions from a university course (McNichols et al.,</w:t>
      </w:r>
      <w:r>
        <w:t xml:space="preserve"> </w:t>
      </w:r>
      <w:r>
        <w:t xml:space="preserve">2025), with the per-skill instrument, testing whether Framing, Judging, and Steering are detectable and</w:t>
      </w:r>
      <w:r>
        <w:t xml:space="preserve"> </w:t>
      </w:r>
      <w:r>
        <w:t xml:space="preserve">separable outside the controlled challenge format; StudyChat's own dialogue-act labels (questioning,</w:t>
      </w:r>
      <w:r>
        <w:t xml:space="preserve"> </w:t>
      </w:r>
      <w:r>
        <w:t xml:space="preserve">verification, and editing) align with the three skills and supply an external anchor. Four further</w:t>
      </w:r>
      <w:r>
        <w:t xml:space="preserve"> </w:t>
      </w:r>
      <w:r>
        <w:t xml:space="preserve">directions follow from the propositions: a longitudinal study of whether the three skills develop and</w:t>
      </w:r>
      <w:r>
        <w:t xml:space="preserve"> </w:t>
      </w:r>
      <w:r>
        <w:t xml:space="preserve">persist with practice; an instructional-intervention study testing whether targeted teaching of each</w:t>
      </w:r>
      <w:r>
        <w:t xml:space="preserve"> </w:t>
      </w:r>
      <w:r>
        <w:t xml:space="preserve">skill improves it, building on evidence that students' behavioral regulation of LLM use is trainable</w:t>
      </w:r>
      <w:r>
        <w:t xml:space="preserve"> </w:t>
      </w:r>
      <w:r>
        <w:t xml:space="preserve">(Clerc et al., 2026); a transfer study testing P4's prediction that Framing, the more structural skill,</w:t>
      </w:r>
      <w:r>
        <w:t xml:space="preserve"> </w:t>
      </w:r>
      <w:r>
        <w:t xml:space="preserve">transfers across domains more readily than the domain-bound Judging, a question made tractable by</w:t>
      </w:r>
      <w:r>
        <w:t xml:space="preserve"> </w:t>
      </w:r>
      <w:r>
        <w:t xml:space="preserve">evidence that metacognitive regulation can show far transfer (Wirth et al., 2025); and a mediation study</w:t>
      </w:r>
      <w:r>
        <w:t xml:space="preserve"> </w:t>
      </w:r>
      <w:r>
        <w:t xml:space="preserve">testing whether metacognitive monitoring accuracy predicts Judging, extending findings that calibration</w:t>
      </w:r>
      <w:r>
        <w:t xml:space="preserve"> </w:t>
      </w:r>
      <w:r>
        <w:t xml:space="preserve">predicts subsequent strategy use in computer-based learning (Lee &amp; Bosch, 2025) and tying the construct</w:t>
      </w:r>
      <w:r>
        <w:t xml:space="preserve"> </w:t>
      </w:r>
      <w:r>
        <w:t xml:space="preserve">to its monitor-control grounding.</w:t>
      </w:r>
    </w:p>
    <w:bookmarkEnd w:id="35"/>
    <w:bookmarkStart w:id="36" w:name="Xd9958a5808c799d638099c5f014583a644a871b"/>
    <w:p>
      <w:pPr>
        <w:pStyle w:val="Heading2"/>
        <w:keepNext/>
        <w:keepLines/>
        <w:widowControl w:val="1"/>
      </w:pPr>
      <w:r>
        <w:t xml:space="preserve">11. Scope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is a conceptual contribution with a proof-of-concept instrument, and three boundary conditions</w:t>
      </w:r>
      <w:r>
        <w:t xml:space="preserve"> </w:t>
      </w:r>
      <w:r>
        <w:t xml:space="preserve">define where the present evidence applies. The feasibility demonstration uses simulated learners of</w:t>
      </w:r>
      <w:r>
        <w:t xml:space="preserve"> </w:t>
      </w:r>
      <w:r>
        <w:t xml:space="preserve">controlled competence: they establish that the grader carries signal and that the skills separate, and</w:t>
      </w:r>
      <w:r>
        <w:t xml:space="preserve"> </w:t>
      </w:r>
      <w:r>
        <w:t xml:space="preserve">they set up the human-learner studies of Section 10. To keep generation and grading independent,</w:t>
      </w:r>
      <w:r>
        <w:t xml:space="preserve"> </w:t>
      </w:r>
      <w:r>
        <w:t xml:space="preserve">learners are generated by one model (gpt-4o-mini) and graded by another (gpt-4o), and the dissociation</w:t>
      </w:r>
      <w:r>
        <w:t xml:space="preserve"> </w:t>
      </w:r>
      <w:r>
        <w:t xml:space="preserve">replicates across grader backends spanning two providers (Section 8); broadening the grader pool further</w:t>
      </w:r>
      <w:r>
        <w:t xml:space="preserve"> </w:t>
      </w:r>
      <w:r>
        <w:t xml:space="preserve">is part of the validation program. The challenges are English-language, and agreement with human</w:t>
      </w:r>
      <w:r>
        <w:t xml:space="preserve"> </w:t>
      </w:r>
      <w:r>
        <w:t xml:space="preserve">experts is the defined next step (Section 10). Two construct-specific boundaries are worth stating.</w:t>
      </w:r>
      <w:r>
        <w:t xml:space="preserve"> </w:t>
      </w:r>
      <w:r>
        <w:t xml:space="preserve">First, Judging as instrumented here is scored against a seeded answer key, so the Judging score applies</w:t>
      </w:r>
      <w:r>
        <w:t xml:space="preserve"> </w:t>
      </w:r>
      <w:r>
        <w:t xml:space="preserve">to settings with known ground truth; open-ended scoring without a key is a distinct instrumentation</w:t>
      </w:r>
      <w:r>
        <w:t xml:space="preserve"> </w:t>
      </w:r>
      <w:r>
        <w:t xml:space="preserve">that Section 10 specifies. Second, Steering's signal is governed by the P2 ceiling by design (its</w:t>
      </w:r>
      <w:r>
        <w:t xml:space="preserve"> </w:t>
      </w:r>
      <w:r>
        <w:t xml:space="preserve">quality is capped by the judging it follows), a relation that human steering data will trace directly.</w:t>
      </w:r>
      <w:r>
        <w:t xml:space="preserve"> </w:t>
      </w:r>
      <w:r>
        <w:t xml:space="preserve">What the paper establishes is a theoretically-grounded decomposition with stated propositions, a precise</w:t>
      </w:r>
      <w:r>
        <w:t xml:space="preserve"> </w:t>
      </w:r>
      <w:r>
        <w:t xml:space="preserve">novelty boundary, and evidence that the three constructs are separable and automatically scoreable; the</w:t>
      </w:r>
      <w:r>
        <w:t xml:space="preserve"> </w:t>
      </w:r>
      <w:r>
        <w:t xml:space="preserve">efficacy study of learning outcomes is the next stage of the program.</w:t>
      </w:r>
    </w:p>
    <w:bookmarkEnd w:id="36"/>
    <w:bookmarkStart w:id="37" w:name="X5947723a0a79e017d648ec5789efc916be82fa3"/>
    <w:p>
      <w:pPr>
        <w:pStyle w:val="Heading2"/>
        <w:keepNext/>
        <w:keepLines/>
        <w:widowControl w:val="1"/>
      </w:pPr>
      <w:r>
        <w:t xml:space="preserve">12. Conclusion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Because the decomposition tracks what a person must contribute rather than what today's</w:t>
      </w:r>
      <w:r>
        <w:t xml:space="preserve"> </w:t>
      </w:r>
      <w:r>
        <w:t xml:space="preserve">models cannot yet do, it does not lapse as the models improve: the more capable the system, the more</w:t>
      </w:r>
      <w:r>
        <w:t xml:space="preserve"> </w:t>
      </w:r>
      <w:r>
        <w:t xml:space="preserve">the assessable skill is the framing, judging, and steering of it. We release the model, the instrument,</w:t>
      </w:r>
      <w:r>
        <w:t xml:space="preserve"> </w:t>
      </w:r>
      <w:r>
        <w:t xml:space="preserve">and the validation protocol as a foundation to build on: an open, domain-general platform with which an</w:t>
      </w:r>
      <w:r>
        <w:t xml:space="preserve"> </w:t>
      </w:r>
      <w:r>
        <w:t xml:space="preserve">educator in any discipline, from algorithms to applied ethics, can assess and train this skill, for the</w:t>
      </w:r>
      <w:r>
        <w:t xml:space="preserve"> </w:t>
      </w:r>
      <w:r>
        <w:t xml:space="preserve">assessment and instruction the moment demands.</w:t>
      </w:r>
    </w:p>
    <w:bookmarkEnd w:id="37"/>
    <w:bookmarkStart w:id="47" w:name="appendix-a-system-walkthrough"/>
    <w:p>
      <w:pPr>
        <w:pStyle w:val="Heading2"/>
        <w:keepNext/>
        <w:keepLines/>
        <w:widowControl w:val="1"/>
      </w:pPr>
      <w:r>
        <w:t xml:space="preserve">Appendix A. System walkthrough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framework's central claim that productive AI use is not one skill but three.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142509"/>
            <wp:effectExtent b="0" l="0" r="0" t="0"/>
            <wp:docPr descr="Figure A1. A CoReasoning Lab challenge run." title="" id="39" name="Picture"/>
            <a:graphic>
              <a:graphicData uri="http://schemas.openxmlformats.org/drawingml/2006/picture">
                <pic:pic>
                  <pic:nvPicPr>
                    <pic:cNvPr descr="assets/system-challenge-ru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42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A1. Screenshot of the running platform: a learner's challenge run, with the two-phase structure</w:t>
      </w:r>
      <w:r>
        <w:rPr>
          <w:i/>
          <w:iCs/>
        </w:rPr>
        <w:t xml:space="preserve"> </w:t>
      </w:r>
      <w:r>
        <w:rPr>
          <w:i/>
          <w:iCs/>
        </w:rPr>
        <w:t xml:space="preserve">made explicit in the interface, Phase 1 (Framing) and Phase 2 (the Judge-Steer cycle). Each skill is</w:t>
      </w:r>
      <w:r>
        <w:rPr>
          <w:i/>
          <w:iCs/>
        </w:rPr>
        <w:t xml:space="preserve"> </w:t>
      </w:r>
      <w:r>
        <w:rPr>
          <w:i/>
          <w:iCs/>
        </w:rPr>
        <w:t xml:space="preserve">scored and given feedback independently.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412672"/>
            <wp:effectExtent b="0" l="0" r="0" t="0"/>
            <wp:docPr descr="Figure A2. CoReasoning Lab instructor course analytics." title="" id="42" name="Picture"/>
            <a:graphic>
              <a:graphicData uri="http://schemas.openxmlformats.org/drawingml/2006/picture">
                <pic:pic>
                  <pic:nvPicPr>
                    <pic:cNvPr descr="assets/system-instructor-analytic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12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A2. Screenshot of the running platform: the instructor course-analytics view. Grade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 is broken out into separate Framing, Judging, and Steering panels, and the per-student</w:t>
      </w:r>
      <w:r>
        <w:rPr>
          <w:i/>
          <w:iCs/>
        </w:rPr>
        <w:t xml:space="preserve"> </w:t>
      </w:r>
      <w:r>
        <w:rPr>
          <w:i/>
          <w:iCs/>
        </w:rPr>
        <w:t xml:space="preserve">results list the three skills as distinct columns, the interface-level expression of the framework's</w:t>
      </w:r>
      <w:r>
        <w:rPr>
          <w:i/>
          <w:iCs/>
        </w:rPr>
        <w:t xml:space="preserve"> </w:t>
      </w:r>
      <w:r>
        <w:rPr>
          <w:i/>
          <w:iCs/>
        </w:rPr>
        <w:t xml:space="preserve">central claim that productive AI use is not one skill but three.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002832"/>
            <wp:effectExtent b="0" l="0" r="0" t="0"/>
            <wp:docPr descr="Figure A3. Auto-generation and assessment pipeline of the CoReasoning Lab engine." title="" id="45" name="Picture"/>
            <a:graphic>
              <a:graphicData uri="http://schemas.openxmlformats.org/drawingml/2006/picture">
                <pic:pic>
                  <pic:nvPicPr>
                    <pic:cNvPr descr="C:/Users/apart/AppData/Local/Temp/html2doc_svg_mhm65S/svg_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02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A3. The sixteen-prompt engine in two phases. In authoring, the instructor names a subject and the</w:t>
      </w:r>
      <w:r>
        <w:rPr>
          <w:i/>
          <w:iCs/>
        </w:rPr>
        <w:t xml:space="preserve"> </w:t>
      </w:r>
      <w:r>
        <w:rPr>
          <w:i/>
          <w:iCs/>
        </w:rPr>
        <w:t xml:space="preserve">engine generates the ill-defined problem (prompt 01), three per-skill rubrics and a gold framing (02, 14),</w:t>
      </w:r>
      <w:r>
        <w:rPr>
          <w:i/>
          <w:iCs/>
        </w:rPr>
        <w:t xml:space="preserve"> </w:t>
      </w:r>
      <w:r>
        <w:rPr>
          <w:i/>
          <w:iCs/>
        </w:rPr>
        <w:t xml:space="preserve">and a deliberately flawed AI solution carrying seeded issues (03). In assessment, each learner response is</w:t>
      </w:r>
      <w:r>
        <w:rPr>
          <w:i/>
          <w:iCs/>
        </w:rPr>
        <w:t xml:space="preserve"> </w:t>
      </w:r>
      <w:r>
        <w:rPr>
          <w:i/>
          <w:iCs/>
        </w:rPr>
        <w:t xml:space="preserve">scored against a different referent: Framing against the gold framing and rubric (08), Judging against the</w:t>
      </w:r>
      <w:r>
        <w:rPr>
          <w:i/>
          <w:iCs/>
        </w:rPr>
        <w:t xml:space="preserve"> </w:t>
      </w:r>
      <w:r>
        <w:rPr>
          <w:i/>
          <w:iCs/>
        </w:rPr>
        <w:t xml:space="preserve">seeded issues (09), and Steering against the corrected trajectory after the output is re-run (04, 10);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grader prompt (11) then assigns each skill its own grade, and the three feed the per-student report</w:t>
      </w:r>
      <w:r>
        <w:rPr>
          <w:i/>
          <w:iCs/>
        </w:rPr>
        <w:t xml:space="preserve"> </w:t>
      </w:r>
      <w:r>
        <w:rPr>
          <w:i/>
          <w:iCs/>
        </w:rPr>
        <w:t xml:space="preserve">and course analytics. Because the three evaluation prompts interrogate different referents, the grades are</w:t>
      </w:r>
      <w:r>
        <w:rPr>
          <w:i/>
          <w:iCs/>
        </w:rPr>
        <w:t xml:space="preserve"> </w:t>
      </w:r>
      <w:r>
        <w:rPr>
          <w:i/>
          <w:iCs/>
        </w:rPr>
        <w:t xml:space="preserve">produced independently rather than as one global impression.</w:t>
      </w:r>
    </w:p>
    <w:bookmarkEnd w:id="47"/>
    <w:bookmarkStart w:id="48" w:name="appendix-b-robustness-and-ablations"/>
    <w:p>
      <w:pPr>
        <w:pStyle w:val="Heading2"/>
        <w:keepNext/>
        <w:keepLines/>
        <w:widowControl w:val="1"/>
      </w:pPr>
      <w:r>
        <w:t xml:space="preserve">Appendix B. Robustness and ablations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each, an independent sample each time at the</w:t>
      </w:r>
      <w:r>
        <w:t xml:space="preserve"> </w:t>
      </w:r>
      <w:r>
        <w:t xml:space="preserve">production temperatures.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Because Judging contributes a</w:t>
      </w:r>
      <w:r>
        <w:t xml:space="preserve"> </w:t>
      </w:r>
      <w:r>
        <w:t xml:space="preserve">flip rate of zero by construction, the load-bearing figure is the blind-graded skills, whose flip rate</w:t>
      </w:r>
      <w:r>
        <w:t xml:space="preserve"> </w:t>
      </w:r>
      <w:r>
        <w:t xml:space="preserve">is near 0.12.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Grader-backend robustness (across vendors).</w:t>
      </w:r>
      <w:r>
        <w:t xml:space="preserve"> </w:t>
      </w:r>
      <w:r>
        <w:t xml:space="preserve">The dissociation holds across three grader backends</w:t>
      </w:r>
      <w:r>
        <w:t xml:space="preserve"> </w:t>
      </w:r>
      <w:r>
        <w:t xml:space="preserve">spanning two providers. The primary grades come from gpt-4o; re-grading the identical 40 transcripts</w:t>
      </w:r>
      <w:r>
        <w:t xml:space="preserve"> </w:t>
      </w:r>
      <w:r>
        <w:t xml:space="preserve">(challenges and learner responses held fixed) with gpt-4o-mini reproduces it (diagonal +0.47 versus</w:t>
      </w:r>
      <w:r>
        <w:t xml:space="preserve"> </w:t>
      </w:r>
      <w:r>
        <w:t xml:space="preserve">off-diagonal +0.07), and re-grading the same transcripts with an independent-vendor model,</w:t>
      </w:r>
      <w:r>
        <w:t xml:space="preserve"> </w:t>
      </w:r>
      <w:r>
        <w:t xml:space="preserve">Meta's llama-3.3-70b (the prototype's own engine), reproduces it again with a stronger margin:</w:t>
      </w:r>
      <w:r>
        <w:t xml:space="preserve"> </w:t>
      </w:r>
      <w:r>
        <w:t xml:space="preserve">own-skill effects of +0.80 (Framing), +0.75 (Judging), and +0.40 (Steering) against a mean cross-skill</w:t>
      </w:r>
      <w:r>
        <w:t xml:space="preserve"> </w:t>
      </w:r>
      <w:r>
        <w:t xml:space="preserve">effect of +0.02, a diagonal-to-off-diagonal ratio of 39. Two facts stand out across backends. First,</w:t>
      </w:r>
      <w:r>
        <w:t xml:space="preserve"> </w:t>
      </w:r>
      <w:r>
        <w:t xml:space="preserve">Judging's own-effect is +2.00 only under gpt-4o's strict adherence to the seeded-issue selection; under</w:t>
      </w:r>
      <w:r>
        <w:t xml:space="preserve"> </w:t>
      </w:r>
      <w:r>
        <w:t xml:space="preserve">both gpt-4o-mini and the independent-vendor llama it settles to +0.65 and +0.75, level with Framing</w:t>
      </w:r>
      <w:r>
        <w:t xml:space="preserve"> </w:t>
      </w:r>
      <w:r>
        <w:t xml:space="preserve">(+0.65 and +0.80), so the separation is balanced across all three skills, not propped up by the built-in</w:t>
      </w:r>
      <w:r>
        <w:t xml:space="preserve"> </w:t>
      </w:r>
      <w:r>
        <w:t xml:space="preserve">Judging diagonal. Second, every backend reproduces the designed contrast profiles (a strong-framer /</w:t>
      </w:r>
      <w:r>
        <w:t xml:space="preserve"> </w:t>
      </w:r>
      <w:r>
        <w:t xml:space="preserve">weak-judge learner scores high Framing and low Judging, and the inverse for a weak-framer / strong-judge</w:t>
      </w:r>
      <w:r>
        <w:t xml:space="preserve"> </w:t>
      </w:r>
      <w:r>
        <w:t xml:space="preserve">learner), which a single general-ability account cannot produce. Because the result holds across three</w:t>
      </w:r>
      <w:r>
        <w:t xml:space="preserve"> </w:t>
      </w:r>
      <w:r>
        <w:t xml:space="preserve">independently-versioned models from two vendors (gpt-4o, gpt-4o-mini, and Meta's llama-3.3-70b), it does</w:t>
      </w:r>
      <w:r>
        <w:t xml:space="preserve"> </w:t>
      </w:r>
      <w:r>
        <w:t xml:space="preserve">not hinge on a single model snapshot; the released harness pins the model identifiers so the run</w:t>
      </w:r>
      <w:r>
        <w:t xml:space="preserve"> </w:t>
      </w:r>
      <w:r>
        <w:t xml:space="preserve">reproduces, and the cross-backend agreement is the evidence that it generalizes beyond any one of them.</w:t>
      </w:r>
      <w:r>
        <w:t xml:space="preserve"> </w:t>
      </w:r>
      <w:r>
        <w:t xml:space="preserve">Cross-vendor replication is therefore established, not deferred.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instrument's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model's own judgment, we re-grade a 40-learner subset</w:t>
      </w:r>
      <w:r>
        <w:t xml:space="preserve"> </w:t>
      </w:r>
      <w:r>
        <w:t xml:space="preserve">(five subjects) with that scaffolding removed, comparing against that subset's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model's own judgment carry it. Judging discrimination, by contrast, falls sharply (+2.00 to +0.45):</w:t>
      </w:r>
      <w:r>
        <w:t xml:space="preserve"> </w:t>
      </w:r>
      <w:r>
        <w:t xml:space="preserve">without the known issues the grader has no recall-precision anchor and no longer separates strong from</w:t>
      </w:r>
      <w:r>
        <w:t xml:space="preserve"> </w:t>
      </w:r>
      <w:r>
        <w:t xml:space="preserve">weak judging. Steering falls in between (+0.50 to +0.25). The skills still</w:t>
      </w:r>
      <w:r>
        <w:t xml:space="preserve"> </w:t>
      </w:r>
      <w:r>
        <w:t xml:space="preserve">dissociate (ratio 29), and the result pinpoints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tracks agreement</w:t>
      </w:r>
      <w:r>
        <w:t xml:space="preserve"> </w:t>
      </w:r>
      <w:r>
        <w:t xml:space="preserve">with a known answer key. This both explains Judging's by-construction +2.00 and locates the Judging</w:t>
      </w:r>
      <w:r>
        <w:t xml:space="preserve"> </w:t>
      </w:r>
      <w:r>
        <w:t xml:space="preserve">score precisely: it applies where ground truth is known, and open-ended judging without a key is the</w:t>
      </w:r>
      <w:r>
        <w:t xml:space="preserve"> </w:t>
      </w:r>
      <w:r>
        <w:t xml:space="preserve">distinct instrumentation Section 10 specifies.</w:t>
      </w:r>
    </w:p>
    <w:bookmarkEnd w:id="48"/>
    <w:bookmarkStart w:id="49" w:name="X20431813dc1d9ebe06088c2967a8c6d7cfc2771"/>
    <w:p>
      <w:pPr>
        <w:pStyle w:val="Heading2"/>
        <w:keepNext/>
        <w:keepLines/>
        <w:widowControl w:val="1"/>
      </w:pPr>
      <w:r>
        <w:t xml:space="preserve">Appendix C. Cross-disciplinary challenge showcase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and the platform are domain-general. An ill-defined problem with seeded flaws, three</w:t>
      </w:r>
      <w:r>
        <w:t xml:space="preserve"> </w:t>
      </w:r>
      <w:r>
        <w:t xml:space="preserve">per-skill rubrics, and a deliberately-imperfect AI solution can be generated for any subject, because</w:t>
      </w:r>
      <w:r>
        <w:t xml:space="preserve"> </w:t>
      </w:r>
      <w:r>
        <w:t xml:space="preserve">each is produced by a prompt that an educator parameterizes with a course and topic. The released</w:t>
      </w:r>
      <w:r>
        <w:t xml:space="preserve"> </w:t>
      </w:r>
      <w:r>
        <w:t xml:space="preserve">platform ships challenge content across twelve disciplines (Table C1) spanning STEM, the social</w:t>
      </w:r>
      <w:r>
        <w:t xml:space="preserve"> </w:t>
      </w:r>
      <w:r>
        <w:t xml:space="preserve">sciences, the humanities, law, and professional and education fields. CoReasoning Lab is in this sense</w:t>
      </w:r>
      <w:r>
        <w:t xml:space="preserve"> </w:t>
      </w:r>
      <w:r>
        <w:t xml:space="preserve">not a computing-education tool but a generic instrument for any discipline in which a learner must</w:t>
      </w:r>
      <w:r>
        <w:t xml:space="preserve"> </w:t>
      </w:r>
      <w:r>
        <w:t xml:space="preserve">specify an ill-defined task, judge a fallible solution, and steer it toward a better one.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Table C1. Disciplines covered by the released challenge content.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Area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Disciplines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STEM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Computer Science (algorithms); Physics (classical mechanics); Mathematics (linear algebra); Electrical Engineering (signal processing); Biology (molecular biology)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Social sciences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Economics (microeconomics); Political Science (international relations); Psychology (cognitive psychology)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Humanities and law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Philosophy (applied ethics); Law (constitutional law)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Professional and education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Business (organizational behavior); Education (educational technology)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four examples below are real ill-defined problems the platform generated, in applied ethics,</w:t>
      </w:r>
      <w:r>
        <w:t xml:space="preserve"> </w:t>
      </w:r>
      <w:r>
        <w:t xml:space="preserve">physics, instructional design, and computing, each of which a learner must Frame before the AI produces</w:t>
      </w:r>
      <w:r>
        <w:t xml:space="preserve"> </w:t>
      </w:r>
      <w:r>
        <w:t xml:space="preserve">a flawed solution to Judge and Steer:</w:t>
      </w:r>
    </w:p>
    <w:p>
      <w:pPr>
        <w:pStyle w:val="Compact"/>
        <w:numPr>
          <w:ilvl w:val="0"/>
          <w:numId w:val="1006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Applied ethics.</w:t>
      </w:r>
      <w:r>
        <w:t xml:space="preserve"> </w:t>
      </w:r>
      <w:r>
        <w:t xml:space="preserve">"As a member of the AI Ethics Committee at a technology company, you have been tasked with developing a set of ethical guidelines for the deployment of a new AI system."</w:t>
      </w:r>
    </w:p>
    <w:p>
      <w:pPr>
        <w:pStyle w:val="Compact"/>
        <w:numPr>
          <w:ilvl w:val="0"/>
          <w:numId w:val="1006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Physics.</w:t>
      </w:r>
      <w:r>
        <w:t xml:space="preserve"> </w:t>
      </w:r>
      <w:r>
        <w:t xml:space="preserve">"As part of a project for a local amusement park, design a new ride that involves a projectile-motion component, and analyze the outcomes."</w:t>
      </w:r>
    </w:p>
    <w:p>
      <w:pPr>
        <w:pStyle w:val="Compact"/>
        <w:numPr>
          <w:ilvl w:val="0"/>
          <w:numId w:val="1006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Instructional design (education).</w:t>
      </w:r>
      <w:r>
        <w:t xml:space="preserve"> </w:t>
      </w:r>
      <w:r>
        <w:t xml:space="preserve">"Our organization is developing a new training program on effective communication skills. Design a backward lesson plan."</w:t>
      </w:r>
    </w:p>
    <w:p>
      <w:pPr>
        <w:pStyle w:val="Compact"/>
        <w:numPr>
          <w:ilvl w:val="0"/>
          <w:numId w:val="1006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Computer science.</w:t>
      </w:r>
      <w:r>
        <w:t xml:space="preserve"> </w:t>
      </w:r>
      <w:r>
        <w:t xml:space="preserve">"Our company is building a navigation app. Design an algorithm that computes the shortest path between two locations on a road network with varying travel speeds, possible road closures, and concurrent route requests."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deliberate gaps differ by discipline (a missing fairness criterion in the ethics task, an unstated</w:t>
      </w:r>
      <w:r>
        <w:t xml:space="preserve"> </w:t>
      </w:r>
      <w:r>
        <w:t xml:space="preserve">launch or safety constraint in the physics task, undefined learning objectives in the lesson-plan task),</w:t>
      </w:r>
      <w:r>
        <w:t xml:space="preserve"> </w:t>
      </w:r>
      <w:r>
        <w:t xml:space="preserve">but the learner's work is identical across all of them: specify the task (Framing), evaluate the AI's</w:t>
      </w:r>
      <w:r>
        <w:t xml:space="preserve"> </w:t>
      </w:r>
      <w:r>
        <w:t xml:space="preserve">flawed solution (Judging), and redirect it toward an adequate one (Steering). Full per-discipline session</w:t>
      </w:r>
      <w:r>
        <w:t xml:space="preserve"> </w:t>
      </w:r>
      <w:r>
        <w:t xml:space="preserve">logs ship with the platform.</w:t>
      </w:r>
    </w:p>
    <w:bookmarkEnd w:id="49"/>
    <w:bookmarkStart w:id="50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Acar, O. A. (2023). AI Prompt Engineering Isn't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Anderson, L. W., &amp; Krathwohl, D. R. (2001). A Taxonomy for Learning, Teaching, and Assessing: A Revision of Bloom's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Bearman, M., Tai, J., Dawson, P., Boud, D., &amp; Ajjawi, R. (2024). Developing Evaluative Judgement for a Time of Generative Artificial Intelligence.</w:t>
      </w:r>
      <w:r>
        <w:t xml:space="preserve"> </w:t>
      </w:r>
      <w:r>
        <w:rPr>
          <w:i/>
          <w:iCs/>
        </w:rPr>
        <w:t xml:space="preserve">Assessment &amp; Evaluation in Higher Education</w:t>
      </w:r>
      <w:r>
        <w:t xml:space="preserve">, 49(6), 893–905. https://doi.org/10.1080/02602938.2024.2335321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Campbell, D. T., &amp; Fiske, D. W. (1959). Convergent and Discriminant Validation by the Multitrait-Multimethod Matrix.</w:t>
      </w:r>
      <w:r>
        <w:t xml:space="preserve"> </w:t>
      </w:r>
      <w:r>
        <w:rPr>
          <w:i/>
          <w:iCs/>
        </w:rPr>
        <w:t xml:space="preserve">Psychological Bulletin</w:t>
      </w:r>
      <w:r>
        <w:t xml:space="preserve">, 56(2), 81–105.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Clerc, O., Abdelghani, R., Desvaux, C., Poisson, E., Oudeyer, P., &amp; Sauzéon, H. (2026). Teaching Students to Question the Machine: An AI Literacy Intervention Improves Students'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Dell'Acqua,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Elshall, A. S., &amp; Badir, A. (2025). Balancing AI-Assisted Learning and Traditional Assessment: The FACT Assessment in Environmental Data Science Education.</w:t>
      </w:r>
      <w:r>
        <w:t xml:space="preserve"> </w:t>
      </w:r>
      <w:r>
        <w:rPr>
          <w:i/>
          <w:iCs/>
        </w:rPr>
        <w:t xml:space="preserve">Frontiers in Education</w:t>
      </w:r>
      <w:r>
        <w:t xml:space="preserve">, 10, 1596462. https://doi.org/10.3389/feduc.2025.1596462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Ganuthula, V. R. R., &amp; Balaraman, K. K. (2025). Artificial Intelligence Quotient Framework for Measuring Human Collaboration with Artificial Intelligence.</w:t>
      </w:r>
      <w:r>
        <w:t xml:space="preserve"> </w:t>
      </w:r>
      <w:r>
        <w:rPr>
          <w:i/>
          <w:iCs/>
        </w:rPr>
        <w:t xml:space="preserve">Discover Artificial Intelligence</w:t>
      </w:r>
      <w:r>
        <w:t xml:space="preserve">, 5, 268. https://doi.org/10.1007/s44163-025-00516-1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Gilson, L. L., &amp; Goldberg, C. B. (2015). Editors'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Große,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H., &amp; Bosch, N. (2025). Calibration Discrepancy Predicts Students' Subsequent Metacognitive Strategy Use in Computer-Based Learning Environments.</w:t>
      </w:r>
      <w:r>
        <w:t xml:space="preserve"> </w:t>
      </w:r>
      <w:r>
        <w:rPr>
          <w:i/>
          <w:iCs/>
        </w:rPr>
        <w:t xml:space="preserve">International Journal of Artificial Intelligence in Education</w:t>
      </w:r>
      <w:r>
        <w:t xml:space="preserve">, 35(6), 3746–3779. https://doi.org/10.1007/s40593-025-00514-5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McNichols, H., Ikram, F., &amp; Lan, A. (2025). The StudyChat Dataset: Student Dialogues With ChatGPT in an Artificial Intelligence Course.</w:t>
      </w:r>
      <w:r>
        <w:t xml:space="preserve"> </w:t>
      </w:r>
      <w:r>
        <w:rPr>
          <w:i/>
          <w:iCs/>
        </w:rPr>
        <w:t xml:space="preserve">arXiv preprint arXiv:2503.07928</w:t>
      </w:r>
      <w:r>
        <w:t xml:space="preserve">. https://doi.org/10.48550/arXiv.2503.07928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Messick, S. (1995). Validity of Psychological Assessment: Validation of Inferences from Persons'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Randazzo, B., Lifshitz-Assaf, H., Kellogg, K., Dell'Acqua,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Walton, J., Bearman, M., Crawford, N., Tai, J., &amp; Boud, D. (2025). How University Students Work on Assessment Tasks with Generative Artificial Intelligence: Matters of Judgement.</w:t>
      </w:r>
      <w:r>
        <w:t xml:space="preserve"> </w:t>
      </w:r>
      <w:r>
        <w:rPr>
          <w:i/>
          <w:iCs/>
        </w:rPr>
        <w:t xml:space="preserve">Assessment &amp; Evaluation in Higher Education</w:t>
      </w:r>
      <w:r>
        <w:t xml:space="preserve"> </w:t>
      </w:r>
      <w:r>
        <w:t xml:space="preserve">(advance online publication). https://doi.org/10.1080/02602938.2025.2570328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Wingerter, T. L., Straub, T., &amp; Schweitzer, S. (2025). Mitigating Automation Bias in Generative AI through Nudges: A Cognitive Reflection Test Study.</w:t>
      </w:r>
      <w:r>
        <w:t xml:space="preserve"> </w:t>
      </w:r>
      <w:r>
        <w:rPr>
          <w:i/>
          <w:iCs/>
        </w:rPr>
        <w:t xml:space="preserve">Procedia Computer Science</w:t>
      </w:r>
      <w:r>
        <w:t xml:space="preserve">, 270, 2106–2114. https://doi.org/10.1016/j.procs.2025.09.331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Wirth, J., Weber-Reuter, X.-L., Schuster, C., Fleischer, J., Leutner, D., &amp; Stebner, F. (2025). Far Transfer of Metacognitive Regulation: From Cognitive Learning Strategy Use to Mental Effort Regulation.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37(1), 7. https://doi.org/10.1007/s10648-024-09983-x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Yao, G., &amp; Fan, L. (2025). Cognitive Load Scale for AI-Assisted L2 Writing: Scale Development and Validation.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 16, 1666974. https://doi.org/10.3389/fpsyg.2025.1666974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Yavuz, F., Çelik, Ö., &amp; Yavaş Çelik, G. (2025). Utilizing Large Language Models for EFL Essay Grading: An Examination of Reliability and Validity in Rubric-Based Assessments.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56(4), 1–17. https://doi.org/10.1111/bjet.13494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UNESCO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50"/>
    <w:bookmarkEnd w:id="51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16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40" w:before="0" w:line="240" w:lineRule="auto"/>
      <w:ind w:left="0" w:firstLine="0"/>
      <w:jc w:val="both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5" Type="http://schemas.openxmlformats.org/officeDocument/2006/relationships/image" Target="media/rId15.png"/><Relationship Id="rId44" Type="http://schemas.openxmlformats.org/officeDocument/2006/relationships/image" Target="media/rId44.png"/><Relationship Id="rId30" Type="http://schemas.openxmlformats.org/officeDocument/2006/relationships/image" Target="media/rId30.png"/><Relationship Id="rId27" Type="http://schemas.openxmlformats.org/officeDocument/2006/relationships/image" Target="media/rId27.png"/><Relationship Id="rId38" Type="http://schemas.openxmlformats.org/officeDocument/2006/relationships/image" Target="media/rId38.png"/><Relationship Id="rId41" Type="http://schemas.openxmlformats.org/officeDocument/2006/relationships/image" Target="media/rId4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2026-06-02T08:00:59Z</dcterms:created>
  <dcterms:modified xsi:type="dcterms:W3CDTF">2026-06-02T08:00:59Z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