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strongest</w:t>
      </w:r>
      <w:r>
        <w:t xml:space="preserve"> </w:t>
      </w:r>
      <w:r>
        <w:t xml:space="preserve">evidence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</w:t>
      </w:r>
      <w:r>
        <w:t xml:space="preserve"> </w:t>
      </w:r>
      <w:r>
        <w:t xml:space="preserve">scores without knowing the intended competence: each shows a clear positive own-effect (+0.62 and</w:t>
      </w:r>
      <w:r>
        <w:t xml:space="preserve"> </w:t>
      </w:r>
      <w:r>
        <w:t xml:space="preserve">+0.43) with near-zero cross-effects, so a simulated learner’s three model-assigned grades move</w:t>
      </w:r>
      <w:r>
        <w:t xml:space="preserve"> </w:t>
      </w:r>
      <w:r>
        <w:t xml:space="preserve">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</w:t>
      </w:r>
      <w:r>
        <w:t xml:space="preserve"> </w:t>
      </w:r>
      <w:r>
        <w:t xml:space="preserve">demonstration and the one we lead with: these two skills are scored by entirely separate mechanisms</w:t>
      </w:r>
      <w:r>
        <w:t xml:space="preserve"> </w:t>
      </w:r>
      <w:r>
        <w:t xml:space="preserve">(free-text framing evaluation versus issue-selection judging) yet their grades are uncorrelated, which</w:t>
      </w:r>
      <w:r>
        <w:t xml:space="preserve"> </w:t>
      </w:r>
      <w:r>
        <w:t xml:space="preserve">a single general-ability account cannot produce. We do not lead with the Judging-Steering pair: its</w:t>
      </w:r>
      <w:r>
        <w:t xml:space="preserve"> </w:t>
      </w:r>
      <w:r>
        <w:t xml:space="preserve">significant positive correlation is exactly what Proposition P2 predicts (a ceiling relation, judging</w:t>
      </w:r>
      <w:r>
        <w:t xml:space="preserve"> </w:t>
      </w:r>
      <w:r>
        <w:t xml:space="preserve">gates steering) and so is expected rather than evidence against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re-graded the transcripts with</w:t>
      </w:r>
      <w:r>
        <w:t xml:space="preserve"> </w:t>
      </w:r>
      <w:r>
        <w:t xml:space="preserve">that scaffolding removed.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largely collapses (+2.00 to +0.45):</w:t>
      </w:r>
      <w:r>
        <w:t xml:space="preserve"> </w:t>
      </w:r>
      <w:r>
        <w:t xml:space="preserve">without the known issues the grader has no recall-precision anchor and can barely separate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(+0.50). We</w:t>
      </w:r>
      <w:r>
        <w:t xml:space="preserve"> </w:t>
      </w:r>
      <w:r>
        <w:t xml:space="preserve">initially attributed this to grader leniency and tested that hypothesis directly with an ablation:</w:t>
      </w:r>
      <w:r>
        <w:t xml:space="preserve"> </w:t>
      </w:r>
      <w:r>
        <w:t xml:space="preserve">re-grading every transcript under a deliberately strict steering rubric (which mandates a C for vague</w:t>
      </w:r>
      <w:r>
        <w:t xml:space="preserve"> </w:t>
      </w:r>
      <w:r>
        <w:t xml:space="preserve">or non-prioritized commands). The strict rubric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 a larger effect, the steering</w:t>
      </w:r>
      <w:r>
        <w:t xml:space="preserve"> </w:t>
      </w:r>
      <w:r>
        <w:t xml:space="preserve">own-effect was +0.40, statistically indistinguishable from +0.50, while the overall dissociation</w:t>
      </w:r>
      <w:r>
        <w:t xml:space="preserve"> </w:t>
      </w:r>
      <w:r>
        <w:t xml:space="preserve">persisted (ratio 27.5; the designed contrasts still decouple). The weak steering signal is therefore</w:t>
      </w:r>
      <w:r>
        <w:t xml:space="preserve"> </w:t>
      </w:r>
      <w:r>
        <w:t xml:space="preserve">not a simple rubric-leniency artifact. The more likely causes are the confound that Proposition P2</w:t>
      </w:r>
      <w:r>
        <w:t xml:space="preserve"> </w:t>
      </w:r>
      <w:r>
        <w:t xml:space="preserve">predicts (steering quality is bounded by the judging it follows, so a competence manipulation on</w:t>
      </w:r>
      <w:r>
        <w:t xml:space="preserve"> </w:t>
      </w:r>
      <w:r>
        <w:t xml:space="preserve">steering alone has limited headroom) and homogeneity in the simulated steering responses; both are best</w:t>
      </w:r>
      <w:r>
        <w:t xml:space="preserve"> </w:t>
      </w:r>
      <w:r>
        <w:t xml:space="preserve">resolved with human steering data,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2026-06-01T08:30:04Z</dcterms:created>
  <dcterms:modified xsi:type="dcterms:W3CDTF">2026-06-01T08:30:04Z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