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p>
      <w:pPr>
        <w:pStyle w:val="Subtitle"/>
        <w:spacing w:before="0" w:after="40"/>
        <w:jc w:val="center"/>
        <w:keepNext/>
        <w:keepLines/>
        <w:widowControl w:val="1"/>
      </w:pPr>
      <w:r>
        <w:rPr>
          <w:rFonts w:ascii="Times New Roman" w:hAnsi="Times New Roman"/>
          <w:b/>
          <w:bCs/>
          <w:i w:val="0"/>
          <w:sz w:val="24"/>
        </w:rPr>
        <w:t xml:space="preserve">Alexander Apartsin</w:t>
      </w:r>
      <w:r>
        <w:rPr>
          <w:rFonts w:ascii="Times New Roman" w:hAnsi="Times New Roman"/>
          <w:b/>
          <w:i w:val="0"/>
          <w:sz w:val="24"/>
        </w:rPr>
        <w:t xml:space="preserve">¹ and</w:t>
      </w:r>
      <w:r>
        <w:rPr>
          <w:rFonts w:ascii="Times New Roman" w:hAnsi="Times New Roman"/>
          <w:b/>
          <w:i w:val="0"/>
          <w:sz w:val="24"/>
        </w:rPr>
        <w:t xml:space="preserve"> </w:t>
      </w:r>
      <w:r>
        <w:rPr>
          <w:rFonts w:ascii="Times New Roman" w:hAnsi="Times New Roman"/>
          <w:b/>
          <w:bCs/>
          <w:i w:val="0"/>
          <w:sz w:val="24"/>
        </w:rPr>
        <w:t xml:space="preserve">Yehudit Aperstein</w:t>
      </w:r>
      <w:r>
        <w:rPr>
          <w:rFonts w:ascii="Times New Roman" w:hAnsi="Times New Roman"/>
          <w:b/>
          <w:i w:val="0"/>
          <w:sz w:val="24"/>
        </w:rPr>
        <w:t xml:space="preserve">²</w:t>
      </w:r>
    </w:p>
    <w:p>
      <w:pPr>
        <w:pStyle w:val="Subtitle"/>
        <w:spacing w:before="0" w:after="160"/>
        <w:jc w:val="center"/>
        <w:keepNext w:val="0"/>
        <w:keepLines/>
        <w:widowControl w:val="1"/>
      </w:pPr>
      <w:r>
        <w:rPr>
          <w:rFonts w:ascii="Times New Roman" w:hAnsi="Times New Roman"/>
          <w:b w:val="0"/>
          <w:i/>
          <w:sz w:val="20"/>
        </w:rPr>
        <w:t xml:space="preserve">¹ Holon Institute of Technology · ² Afeka College of Engineering</w:t>
      </w:r>
    </w:p>
    <w:bookmarkStart w:id="9" w:name="abstract"/>
    <w:p>
      <w:pPr>
        <w:pStyle w:val="AbstractLabel"/>
        <w:jc w:val="center"/>
        <w:keepNext/>
        <w:keepLines/>
        <w:widowControl w:val="1"/>
      </w:pPr>
      <w:r>
        <w:t xml:space="preserve">Abstract</w:t>
      </w:r>
    </w:p>
    <w:p>
      <w:pPr>
        <w:pStyle w:val="FirstParagraph"/>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2FEAbc/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1 (schematic). As models absorb more of the execution, the part of a task a competent person</w:t>
      </w:r>
      <w:r>
        <w:rPr>
          <w:i/>
          <w:iCs/>
        </w:rPr>
        <w:t xml:space="preserve"> </w:t>
      </w:r>
      <w:r>
        <w:rPr>
          <w:i/>
          <w:iCs/>
        </w:rPr>
        <w:t xml:space="preserve">must still own shifts from doing the work toward framing, judging, and steering it; the axes are</w:t>
      </w:r>
      <w:r>
        <w:rPr>
          <w:i/>
          <w:iCs/>
        </w:rPr>
        <w:t xml:space="preserve"> </w:t>
      </w:r>
      <w:r>
        <w:rPr>
          <w:i/>
          <w:iCs/>
        </w:rPr>
        <w:t xml:space="preserve">conceptual, not quantitative. CoReasoning is a decomposition and assessment of that shifting</w:t>
      </w:r>
      <w:r>
        <w:rPr>
          <w:i/>
          <w:iCs/>
        </w:rPr>
        <w:t xml:space="preserve"> </w:t>
      </w:r>
      <w:r>
        <w:rPr>
          <w:i/>
          <w:iCs/>
        </w:rPr>
        <w:t xml:space="preserve">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asoning architecture." title="" id="16" name="Picture"/>
            <a:graphic>
              <a:graphicData uri="http://schemas.openxmlformats.org/drawingml/2006/picture">
                <pic:pic>
                  <pic:nvPicPr>
                    <pic:cNvPr descr="C:/Users/apart/AppData/Local/Temp/html2doc_svg_2FEAbc/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2. The CoReasoning loop. An upstream task definition (Framing, a self-regulated-learning</w:t>
      </w:r>
      <w:r>
        <w:rPr>
          <w:i/>
          <w:iCs/>
        </w:rPr>
        <w:t xml:space="preserve"> </w:t>
      </w:r>
      <w:r>
        <w:rPr>
          <w:i/>
          <w:iCs/>
        </w:rPr>
        <w:t xml:space="preserve">forethought activity) sets the standards against which a metacognitive monitor-control cycle (Judging</w:t>
      </w:r>
      <w:r>
        <w:rPr>
          <w:i/>
          <w:iCs/>
        </w:rPr>
        <w:t xml:space="preserve"> </w:t>
      </w:r>
      <w:r>
        <w:rPr>
          <w:i/>
          <w:iCs/>
        </w:rPr>
        <w:t xml:space="preserve">then Steering) supervises a fallible AI at the object level. Judging is the monitor's read-out;</w:t>
      </w:r>
      <w:r>
        <w:rPr>
          <w:i/>
          <w:iCs/>
        </w:rPr>
        <w:t xml:space="preserve"> </w:t>
      </w:r>
      <w:r>
        <w:rPr>
          <w:i/>
          <w:iCs/>
        </w:rPr>
        <w:t xml:space="preserve">Steering is the controller's write.</w:t>
      </w: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160" w:after="60" w:line="240" w:lineRule="auto"/>
        <w:jc w:val="center"/>
        <w:keepNext/>
        <w:keepLines/>
        <w:widowControl w:val="1"/>
      </w:pPr>
      <w:r>
        <w:rPr>
          <w:b/>
          <w:bCs/>
        </w:rPr>
        <w:t xml:space="preserve">Table 1. 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fused into</w:t>
            </w:r>
            <w:r>
              <w:rPr>
                <w:rFonts w:ascii="Times New Roman" w:hAnsi="Times New Roman"/>
                <w:sz w:val="20"/>
              </w:rPr>
              <w:t xml:space="preserve"> </w:t>
            </w:r>
            <w:r>
              <w:rPr>
                <w:rFonts w:ascii="Times New Roman" w:hAnsi="Times New Roman"/>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"continuous dialogue"</w:t>
            </w:r>
          </w:p>
        </w:tc>
      </w:tr>
    </w:tbl>
    <w:p>
      <w:pPr>
        <w:pStyle w:val="BodyText"/>
        <w:spacing w:before="16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160" w:after="60" w:line="240" w:lineRule="auto"/>
        <w:jc w:val="center"/>
        <w:keepNext/>
        <w:keepLines/>
        <w:widowControl w:val="1"/>
      </w:pPr>
      <w:r>
        <w:rPr>
          <w:b/>
          <w:bCs/>
        </w:rPr>
        <w:t xml:space="preserve">Table 2. 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+0.43</w:t>
            </w:r>
          </w:p>
        </w:tc>
      </w:tr>
    </w:tbl>
    <w:p>
      <w:pPr>
        <w:pStyle w:val="BodyText"/>
        <w:spacing w:before="160"/>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pStyle w:val="TableCaption"/>
        <w:spacing w:before="160" w:after="60" w:line="240" w:lineRule="auto"/>
        <w:jc w:val="center"/>
        <w:keepNext/>
        <w:keepLines/>
        <w:widowControl w:val="1"/>
      </w:pPr>
      <w:r>
        <w:rPr>
          <w:b/>
          <w:bCs/>
        </w:rPr>
        <w:t xml:space="preserve">Table 3. Multitrait-multimethod validity.</w:t>
      </w:r>
      <w:r>
        <w:t xml:space="preserve"> </w:t>
      </w:r>
      <w:r>
        <w:t xml:space="preserve">Panel A: convergent agreement of the same skill across</w:t>
      </w:r>
      <w:r>
        <w:t xml:space="preserve"> </w:t>
      </w:r>
      <w:r>
        <w:t xml:space="preserve">the three grader backends (mean pairwise per-learner rank correlation on the 40 shared transcripts).</w:t>
      </w:r>
      <w:r>
        <w:t xml:space="preserve"> </w:t>
      </w:r>
      <w:r>
        <w:t xml:space="preserve">Panel B: inter-skill grade correlation by population, showing the instrument recovers the population's</w:t>
      </w:r>
      <w:r>
        <w:t xml:space="preserve"> </w:t>
      </w:r>
      <w:r>
        <w:t xml:space="preserve">dependence structure (discriminant on the full crossed design, convergent on the n=20 all-strong and</w:t>
      </w:r>
      <w:r>
        <w:t xml:space="preserve"> </w:t>
      </w:r>
      <w:r>
        <w:t xml:space="preserve">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Panel A: cross-grader convergent (</w:t>
            </w:r>
            <m:oMath>
              <m:r>
                <m:t>ρ</m:t>
              </m:r>
            </m:oMath>
            <w:r>
              <w:rPr>
                <w:rFonts w:ascii="Times New Roman" w:hAnsi="Times New Roman"/>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Panel B: inter-skill</w:t>
            </w:r>
            <w:r>
              <w:rPr>
                <w:rFonts w:ascii="Times New Roman" w:hAnsi="Times New Roman"/>
                <w:b/>
                <w:sz w:val="19"/>
              </w:rPr>
              <w:t xml:space="preserve"> </w:t>
            </w:r>
            <m:oMath>
              <m:r>
                <m:t>ρ</m:t>
              </m:r>
            </m:oMath>
            <w:r>
              <w:rPr>
                <w:rFonts w:ascii="Times New Roman" w:hAnsi="Times New Roman"/>
                <w:b/>
                <w:sz w:val="19"/>
              </w:rPr>
              <w:t xml:space="preserve"> </w:t>
            </w:r>
            <w:r>
              <w:rPr>
                <w:rFonts w:ascii="Times New Roman" w:hAnsi="Times New Roman"/>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mean</w:t>
            </w:r>
            <w:r>
              <w:rPr>
                <w:rFonts w:ascii="Times New Roman" w:hAnsi="Times New Roman"/>
                <w:sz w:val="20"/>
              </w:rPr>
              <w:t xml:space="preserve"> </w:t>
            </w:r>
            <m:oMath>
              <m:r>
                <m:rPr>
                  <m:sty m:val="p"/>
                </m:rPr>
                <m:t>|</m:t>
              </m:r>
              <m:r>
                <m:t>ρ</m:t>
              </m:r>
              <m:r>
                <m:rPr>
                  <m:sty m:val="p"/>
                </m:rPr>
                <m:t>|</m:t>
              </m:r>
            </m:oMath>
            <w:r>
              <w:rPr>
                <w:rFonts w:ascii="Times New Roman" w:hAnsi="Times New Roman"/>
                <w:sz w:val="20"/>
              </w:rPr>
              <w:t xml:space="preserve"> </w:t>
            </w:r>
            <w:r>
              <w:rPr>
                <w:rFonts w:ascii="Times New Roman" w:hAnsi="Times New Roman"/>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mean</w:t>
            </w:r>
            <w:r>
              <w:rPr>
                <w:rFonts w:ascii="Times New Roman" w:hAnsi="Times New Roman"/>
                <w:sz w:val="20"/>
              </w:rPr>
              <w:t xml:space="preserve"> </w:t>
            </w:r>
            <m:oMath>
              <m:r>
                <m:t>ρ</m:t>
              </m:r>
            </m:oMath>
            <w:r>
              <w:rPr>
                <w:rFonts w:ascii="Times New Roman" w:hAnsi="Times New Roman"/>
                <w:sz w:val="20"/>
              </w:rPr>
              <w:t xml:space="preserve"> </w:t>
            </w:r>
            <w:r>
              <w:rPr>
                <w:rFonts w:ascii="Times New Roman" w:hAnsi="Times New Roman"/>
                <w:sz w:val="20"/>
              </w:rPr>
              <w:t xml:space="preserve">= +0.41</w:t>
            </w:r>
          </w:p>
        </w:tc>
      </w:tr>
    </w:tbl>
    <w:p>
      <w:pPr>
        <w:pStyle w:val="BodyText"/>
        <w:spacing w:before="160"/>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3. Effect of manipulating each skill's competence (columns) on each skill's grade (rows). Each</w:t>
      </w:r>
      <w:r>
        <w:rPr>
          <w:i/>
          <w:iCs/>
        </w:rPr>
        <w:t xml:space="preserve"> </w:t>
      </w:r>
      <w:r>
        <w:rPr>
          <w:i/>
          <w:iCs/>
        </w:rPr>
        <w:t xml:space="preserve">cell is the grade change (strong minus weak) on the 3-point scale (A=3, B=2, C=1); warmer cells are</w:t>
      </w:r>
      <w:r>
        <w:rPr>
          <w:i/>
          <w:iCs/>
        </w:rPr>
        <w:t xml:space="preserve"> </w:t>
      </w:r>
      <w:r>
        <w:rPr>
          <w:i/>
          <w:iCs/>
        </w:rPr>
        <w:t xml:space="preserve">larger positive effects. The diagonal (own-skill effect) dominates; off-diagonal (cross-skill) effects</w:t>
      </w:r>
      <w:r>
        <w:rPr>
          <w:i/>
          <w:iCs/>
        </w:rPr>
        <w:t xml:space="preserve"> </w:t>
      </w:r>
      <w:r>
        <w:rPr>
          <w:i/>
          <w:iCs/>
        </w:rPr>
        <w:t xml:space="preserve">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4. Mean per-skill grade for five competence profiles. Judging reaches A only when judging is</w:t>
      </w:r>
      <w:r>
        <w:rPr>
          <w:i/>
          <w:iCs/>
        </w:rPr>
        <w:t xml:space="preserve"> </w:t>
      </w:r>
      <w:r>
        <w:rPr>
          <w:i/>
          <w:iCs/>
        </w:rPr>
        <w:t xml:space="preserve">strong, regardless of framing or steering; each skill responds to its own competence.</w:t>
      </w: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5943600" cy="478620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5943600" cy="4786207"/>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A1. Screenshot of the running platform: a learner's challenge run at the Framing phase. The</w:t>
      </w:r>
      <w:r>
        <w:rPr>
          <w:i/>
          <w:iCs/>
        </w:rPr>
        <w:t xml:space="preserve"> </w:t>
      </w:r>
      <w:r>
        <w:rPr>
          <w:i/>
          <w:iCs/>
        </w:rPr>
        <w:t xml:space="preserve">engine has generated an ill-defined problem (here, an AI hiring-screening task), and the learner</w:t>
      </w:r>
      <w:r>
        <w:rPr>
          <w:i/>
          <w:iCs/>
        </w:rPr>
        <w:t xml:space="preserve"> </w:t>
      </w:r>
      <w:r>
        <w:rPr>
          <w:i/>
          <w:iCs/>
        </w:rPr>
        <w:t xml:space="preserve">specifies refinements before any solution is produced. The two-phase structure is explicit in the</w:t>
      </w:r>
      <w:r>
        <w:rPr>
          <w:i/>
          <w:iCs/>
        </w:rPr>
        <w:t xml:space="preserve"> </w:t>
      </w:r>
      <w:r>
        <w:rPr>
          <w:i/>
          <w:iCs/>
        </w:rPr>
        <w:t xml:space="preserve">interface, Phase 1 (Framing) and Phase 2 (the Judge-Steer cycle), and each skill is scored and given</w:t>
      </w:r>
      <w:r>
        <w:rPr>
          <w:i/>
          <w:iCs/>
        </w:rPr>
        <w:t xml:space="preserve"> </w:t>
      </w:r>
      <w:r>
        <w:rPr>
          <w:i/>
          <w:iCs/>
        </w:rPr>
        <w:t xml:space="preserve">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5943600" cy="4412672"/>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5943600" cy="4412672"/>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A2. Screenshot of the running platform: the instructor course-analytics view. Grade</w:t>
      </w:r>
      <w:r>
        <w:rPr>
          <w:i/>
          <w:iCs/>
        </w:rPr>
        <w:t xml:space="preserve"> </w:t>
      </w:r>
      <w:r>
        <w:rPr>
          <w:i/>
          <w:iCs/>
        </w:rPr>
        <w:t xml:space="preserve">distribution is broken out into separate Framing, Judging, and Steering panels, and the per-student</w:t>
      </w:r>
      <w:r>
        <w:rPr>
          <w:i/>
          <w:iCs/>
        </w:rPr>
        <w:t xml:space="preserve"> </w:t>
      </w:r>
      <w:r>
        <w:rPr>
          <w:i/>
          <w:iCs/>
        </w:rPr>
        <w:t xml:space="preserve">results list the three skills as distinct columns, the interface-level expression of the framework's</w:t>
      </w:r>
      <w:r>
        <w:rPr>
          <w:i/>
          <w:iCs/>
        </w:rPr>
        <w:t xml:space="preserve"> </w:t>
      </w:r>
      <w:r>
        <w:rPr>
          <w:i/>
          <w:iCs/>
        </w:rPr>
        <w:t xml:space="preserve">central claim that productive AI use is not one skill but three.</w:t>
      </w:r>
    </w:p>
    <w:p>
      <w:pPr>
        <w:pStyle w:val="BodyText"/>
        <w:jc w:val="center"/>
        <w:keepNext/>
        <w:keepLines/>
        <w:widowControl w:val="1"/>
      </w:pPr>
      <w:r>
        <w:drawing>
          <wp:inline>
            <wp:extent cx="5943600" cy="400283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2FEAbc/svg_2.png" id="46" name="Picture"/>
                    <pic:cNvPicPr>
                      <a:picLocks noChangeArrowheads="1" noChangeAspect="1"/>
                    </pic:cNvPicPr>
                  </pic:nvPicPr>
                  <pic:blipFill>
                    <a:blip r:embed="rId44"/>
                    <a:stretch>
                      <a:fillRect/>
                    </a:stretch>
                  </pic:blipFill>
                  <pic:spPr bwMode="auto">
                    <a:xfrm>
                      <a:off x="0" y="0"/>
                      <a:ext cx="5943600" cy="4002832"/>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A3. The sixteen-prompt engine in two phases. In authoring, the instructor names a subject and the</w:t>
      </w:r>
      <w:r>
        <w:rPr>
          <w:i/>
          <w:iCs/>
        </w:rPr>
        <w:t xml:space="preserve"> </w:t>
      </w:r>
      <w:r>
        <w:rPr>
          <w:i/>
          <w:iCs/>
        </w:rPr>
        <w:t xml:space="preserve">engine generates the ill-defined problem (prompt 01), three per-skill rubrics and a gold framing (02, 14),</w:t>
      </w:r>
      <w:r>
        <w:rPr>
          <w:i/>
          <w:iCs/>
        </w:rPr>
        <w:t xml:space="preserve"> </w:t>
      </w:r>
      <w:r>
        <w:rPr>
          <w:i/>
          <w:iCs/>
        </w:rPr>
        <w:t xml:space="preserve">and a deliberately flawed AI solution carrying seeded issues (03). In assessment, each learner response is</w:t>
      </w:r>
      <w:r>
        <w:rPr>
          <w:i/>
          <w:iCs/>
        </w:rPr>
        <w:t xml:space="preserve"> </w:t>
      </w:r>
      <w:r>
        <w:rPr>
          <w:i/>
          <w:iCs/>
        </w:rPr>
        <w:t xml:space="preserve">scored against a different referent: Framing against the gold framing and rubric (08), Judging against the</w:t>
      </w:r>
      <w:r>
        <w:rPr>
          <w:i/>
          <w:iCs/>
        </w:rPr>
        <w:t xml:space="preserve"> </w:t>
      </w:r>
      <w:r>
        <w:rPr>
          <w:i/>
          <w:iCs/>
        </w:rPr>
        <w:t xml:space="preserve">seeded issues (09), and Steering against the corrected trajectory after the output is re-run (04, 10); a</w:t>
      </w:r>
      <w:r>
        <w:rPr>
          <w:i/>
          <w:iCs/>
        </w:rPr>
        <w:t xml:space="preserve"> </w:t>
      </w:r>
      <w:r>
        <w:rPr>
          <w:i/>
          <w:iCs/>
        </w:rPr>
        <w:t xml:space="preserve">single grader prompt (11) then assigns each skill its own grade, and the three feed the per-student report</w:t>
      </w:r>
      <w:r>
        <w:rPr>
          <w:i/>
          <w:iCs/>
        </w:rPr>
        <w:t xml:space="preserve"> </w:t>
      </w:r>
      <w:r>
        <w:rPr>
          <w:i/>
          <w:iCs/>
        </w:rPr>
        <w:t xml:space="preserve">and course analytics. Because the three evaluation prompts interrogate different referents, the grades are</w:t>
      </w:r>
      <w:r>
        <w:rPr>
          <w:i/>
          <w:iCs/>
        </w:rPr>
        <w:t xml:space="preserve"> </w:t>
      </w:r>
      <w:r>
        <w:rPr>
          <w:i/>
          <w:iCs/>
        </w:rPr>
        <w:t xml:space="preserve">produced independently rather than as one global impression.</w:t>
      </w: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BodyText"/>
        <w:jc w:val="both"/>
        <w:keepNext w:val="0"/>
        <w:keepLines w:val="0"/>
        <w:widowControl w:val="1"/>
      </w:pPr>
      <w:r>
        <w:rPr>
          <w:b/>
          <w:bCs/>
        </w:rPr>
        <w:t xml:space="preserve">Table C1. 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Business (organizational behavior); Education (educational technology)</w:t>
            </w:r>
          </w:p>
        </w:tc>
      </w:tr>
    </w:tbl>
    <w:p>
      <w:pPr>
        <w:pStyle w:val="BodyText"/>
        <w:spacing w:before="16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jc w:val="left"/>
        <w:keepNext w:val="0"/>
        <w:keepLines w:val="0"/>
        <w:widowControl w:val="1"/>
      </w:pPr>
      <w:r>
        <w:t xml:space="preserve">Acar, O. A. (2023). AI Prompt Engineering Isn't the Future.</w:t>
      </w:r>
      <w:r>
        <w:t xml:space="preserve"> </w:t>
      </w:r>
      <w:r>
        <w:rPr>
          <w:i/>
          <w:iCs/>
        </w:rPr>
        <w:t xml:space="preserve">Harvard Business Review, June 6</w:t>
      </w:r>
      <w:r>
        <w:t xml:space="preserve">.</w:t>
      </w:r>
    </w:p>
    <w:p>
      <w:pPr>
        <w:pStyle w:val="ReferenceEntry"/>
        <w:jc w:val="left"/>
        <w:keepNext w:val="0"/>
        <w:keepLines w:val="0"/>
        <w:widowControl w:val="1"/>
      </w:pP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jc w:val="left"/>
        <w:keepNext w:val="0"/>
        <w:keepLines w:val="0"/>
        <w:widowControl w:val="1"/>
      </w:pP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jc w:val="left"/>
        <w:keepNext w:val="0"/>
        <w:keepLines w:val="0"/>
        <w:widowControl w:val="1"/>
      </w:pP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jc w:val="left"/>
        <w:keepNext w:val="0"/>
        <w:keepLines w:val="0"/>
        <w:widowControl w:val="1"/>
      </w:pP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jc w:val="left"/>
        <w:keepNext w:val="0"/>
        <w:keepLines w:val="0"/>
        <w:widowControl w:val="1"/>
      </w:pP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jc w:val="left"/>
        <w:keepNext w:val="0"/>
        <w:keepLines w:val="0"/>
        <w:widowControl w:val="1"/>
      </w:pP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jc w:val="left"/>
        <w:keepNext w:val="0"/>
        <w:keepLines w:val="0"/>
        <w:widowControl w:val="1"/>
      </w:pP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jc w:val="left"/>
        <w:keepNext w:val="0"/>
        <w:keepLines w:val="0"/>
        <w:widowControl w:val="1"/>
      </w:pP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jc w:val="left"/>
        <w:keepNext w:val="0"/>
        <w:keepLines w:val="0"/>
        <w:widowControl w:val="1"/>
      </w:pP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jc w:val="left"/>
        <w:keepNext w:val="0"/>
        <w:keepLines w:val="0"/>
        <w:widowControl w:val="1"/>
      </w:pP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jc w:val="left"/>
        <w:keepNext w:val="0"/>
        <w:keepLines w:val="0"/>
        <w:widowControl w:val="1"/>
      </w:pP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jc w:val="left"/>
        <w:keepNext w:val="0"/>
        <w:keepLines w:val="0"/>
        <w:widowControl w:val="1"/>
      </w:pPr>
      <w:r>
        <w:t xml:space="preserve">Dakan, R., &amp; Feller, J. (2025). Framework for AI Fluency.</w:t>
      </w:r>
      <w:r>
        <w:t xml:space="preserve"> </w:t>
      </w:r>
      <w:r>
        <w:rPr>
          <w:i/>
          <w:iCs/>
        </w:rPr>
        <w:t xml:space="preserve">Anthropic</w:t>
      </w:r>
      <w:r>
        <w:t xml:space="preserve">.</w:t>
      </w:r>
    </w:p>
    <w:p>
      <w:pPr>
        <w:pStyle w:val="ReferenceEntry"/>
        <w:jc w:val="left"/>
        <w:keepNext w:val="0"/>
        <w:keepLines w:val="0"/>
        <w:widowControl w:val="1"/>
      </w:pP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jc w:val="left"/>
        <w:keepNext w:val="0"/>
        <w:keepLines w:val="0"/>
        <w:widowControl w:val="1"/>
      </w:pP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jc w:val="left"/>
        <w:keepNext w:val="0"/>
        <w:keepLines w:val="0"/>
        <w:widowControl w:val="1"/>
      </w:pP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jc w:val="left"/>
        <w:keepNext w:val="0"/>
        <w:keepLines w:val="0"/>
        <w:widowControl w:val="1"/>
      </w:pP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jc w:val="left"/>
        <w:keepNext w:val="0"/>
        <w:keepLines w:val="0"/>
        <w:widowControl w:val="1"/>
      </w:pP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jc w:val="left"/>
        <w:keepNext w:val="0"/>
        <w:keepLines w:val="0"/>
        <w:widowControl w:val="1"/>
      </w:pP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jc w:val="left"/>
        <w:keepNext w:val="0"/>
        <w:keepLines w:val="0"/>
        <w:widowControl w:val="1"/>
      </w:pP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jc w:val="left"/>
        <w:keepNext w:val="0"/>
        <w:keepLines w:val="0"/>
        <w:widowControl w:val="1"/>
      </w:pP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jc w:val="left"/>
        <w:keepNext w:val="0"/>
        <w:keepLines w:val="0"/>
        <w:widowControl w:val="1"/>
      </w:pP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jc w:val="left"/>
        <w:keepNext w:val="0"/>
        <w:keepLines w:val="0"/>
        <w:widowControl w:val="1"/>
      </w:pP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jc w:val="left"/>
        <w:keepNext w:val="0"/>
        <w:keepLines w:val="0"/>
        <w:widowControl w:val="1"/>
      </w:pP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jc w:val="left"/>
        <w:keepNext w:val="0"/>
        <w:keepLines w:val="0"/>
        <w:widowControl w:val="1"/>
      </w:pP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jc w:val="left"/>
        <w:keepNext w:val="0"/>
        <w:keepLines w:val="0"/>
        <w:widowControl w:val="1"/>
      </w:pP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jc w:val="left"/>
        <w:keepNext w:val="0"/>
        <w:keepLines w:val="0"/>
        <w:widowControl w:val="1"/>
      </w:pP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jc w:val="left"/>
        <w:keepNext w:val="0"/>
        <w:keepLines w:val="0"/>
        <w:widowControl w:val="1"/>
      </w:pP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jc w:val="left"/>
        <w:keepNext w:val="0"/>
        <w:keepLines w:val="0"/>
        <w:widowControl w:val="1"/>
      </w:pPr>
      <w:r>
        <w:t xml:space="preserve">Hattie, J., &amp; Timperley, H. (2007). The Power of Feedback.</w:t>
      </w:r>
      <w:r>
        <w:t xml:space="preserve"> </w:t>
      </w:r>
      <w:r>
        <w:rPr>
          <w:i/>
          <w:iCs/>
        </w:rPr>
        <w:t xml:space="preserve">Review of Educational Research</w:t>
      </w:r>
      <w:r>
        <w:t xml:space="preserve">, 77(1), 81–112.</w:t>
      </w:r>
    </w:p>
    <w:p>
      <w:pPr>
        <w:pStyle w:val="ReferenceEntry"/>
        <w:jc w:val="left"/>
        <w:keepNext w:val="0"/>
        <w:keepLines w:val="0"/>
        <w:widowControl w:val="1"/>
      </w:pPr>
      <w:r>
        <w:t xml:space="preserve">Jaakkola, E. (2020). Designing Conceptual Articles: Four Approaches.</w:t>
      </w:r>
      <w:r>
        <w:t xml:space="preserve"> </w:t>
      </w:r>
      <w:r>
        <w:rPr>
          <w:i/>
          <w:iCs/>
        </w:rPr>
        <w:t xml:space="preserve">AMS Review</w:t>
      </w:r>
      <w:r>
        <w:t xml:space="preserve">, 10, 18–26.</w:t>
      </w:r>
    </w:p>
    <w:p>
      <w:pPr>
        <w:pStyle w:val="ReferenceEntry"/>
        <w:jc w:val="left"/>
        <w:keepNext w:val="0"/>
        <w:keepLines w:val="0"/>
        <w:widowControl w:val="1"/>
      </w:pP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jc w:val="left"/>
        <w:keepNext w:val="0"/>
        <w:keepLines w:val="0"/>
        <w:widowControl w:val="1"/>
      </w:pP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jc w:val="left"/>
        <w:keepNext w:val="0"/>
        <w:keepLines w:val="0"/>
        <w:widowControl w:val="1"/>
      </w:pPr>
      <w:r>
        <w:t xml:space="preserve">Kapur, M. (2008). Productive Failure.</w:t>
      </w:r>
      <w:r>
        <w:t xml:space="preserve"> </w:t>
      </w:r>
      <w:r>
        <w:rPr>
          <w:i/>
          <w:iCs/>
        </w:rPr>
        <w:t xml:space="preserve">Cognition and Instruction</w:t>
      </w:r>
      <w:r>
        <w:t xml:space="preserve">, 26(3), 379–424.</w:t>
      </w:r>
    </w:p>
    <w:p>
      <w:pPr>
        <w:pStyle w:val="ReferenceEntry"/>
        <w:jc w:val="left"/>
        <w:keepNext w:val="0"/>
        <w:keepLines w:val="0"/>
        <w:widowControl w:val="1"/>
      </w:pP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jc w:val="left"/>
        <w:keepNext w:val="0"/>
        <w:keepLines w:val="0"/>
        <w:widowControl w:val="1"/>
      </w:pP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jc w:val="left"/>
        <w:keepNext w:val="0"/>
        <w:keepLines w:val="0"/>
        <w:widowControl w:val="1"/>
      </w:pP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jc w:val="left"/>
        <w:keepNext w:val="0"/>
        <w:keepLines w:val="0"/>
        <w:widowControl w:val="1"/>
      </w:pPr>
      <w:r>
        <w:t xml:space="preserve">Lee, J. D., &amp; See, K. A. (2004). Trust in Automation: Designing for Appropriate Reliance.</w:t>
      </w:r>
      <w:r>
        <w:t xml:space="preserve"> </w:t>
      </w:r>
      <w:r>
        <w:rPr>
          <w:i/>
          <w:iCs/>
        </w:rPr>
        <w:t xml:space="preserve">Human Factors</w:t>
      </w:r>
      <w:r>
        <w:t xml:space="preserve">, 46(1), 50–80.</w:t>
      </w:r>
    </w:p>
    <w:p>
      <w:pPr>
        <w:pStyle w:val="ReferenceEntry"/>
        <w:jc w:val="left"/>
        <w:keepNext w:val="0"/>
        <w:keepLines w:val="0"/>
        <w:widowControl w:val="1"/>
      </w:pP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jc w:val="left"/>
        <w:keepNext w:val="0"/>
        <w:keepLines w:val="0"/>
        <w:widowControl w:val="1"/>
      </w:pP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jc w:val="left"/>
        <w:keepNext w:val="0"/>
        <w:keepLines w:val="0"/>
        <w:widowControl w:val="1"/>
      </w:pP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jc w:val="left"/>
        <w:keepNext w:val="0"/>
        <w:keepLines w:val="0"/>
        <w:widowControl w:val="1"/>
      </w:pP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jc w:val="left"/>
        <w:keepNext w:val="0"/>
        <w:keepLines w:val="0"/>
        <w:widowControl w:val="1"/>
      </w:pP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jc w:val="left"/>
        <w:keepNext w:val="0"/>
        <w:keepLines w:val="0"/>
        <w:widowControl w:val="1"/>
      </w:pP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jc w:val="left"/>
        <w:keepNext w:val="0"/>
        <w:keepLines w:val="0"/>
        <w:widowControl w:val="1"/>
      </w:pP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jc w:val="left"/>
        <w:keepNext w:val="0"/>
        <w:keepLines w:val="0"/>
        <w:widowControl w:val="1"/>
      </w:pP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jc w:val="left"/>
        <w:keepNext w:val="0"/>
        <w:keepLines w:val="0"/>
        <w:widowControl w:val="1"/>
      </w:pP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jc w:val="left"/>
        <w:keepNext w:val="0"/>
        <w:keepLines w:val="0"/>
        <w:widowControl w:val="1"/>
      </w:pP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jc w:val="left"/>
        <w:keepNext w:val="0"/>
        <w:keepLines w:val="0"/>
        <w:widowControl w:val="1"/>
      </w:pP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jc w:val="left"/>
        <w:keepNext w:val="0"/>
        <w:keepLines w:val="0"/>
        <w:widowControl w:val="1"/>
      </w:pPr>
      <w:r>
        <w:t xml:space="preserve">Runco, M. A., &amp; Chand, I. (1995). Cognition and Creativity.</w:t>
      </w:r>
      <w:r>
        <w:t xml:space="preserve"> </w:t>
      </w:r>
      <w:r>
        <w:rPr>
          <w:i/>
          <w:iCs/>
        </w:rPr>
        <w:t xml:space="preserve">Educational Psychology Review</w:t>
      </w:r>
      <w:r>
        <w:t xml:space="preserve">, 7(3), 243–267.</w:t>
      </w:r>
    </w:p>
    <w:p>
      <w:pPr>
        <w:pStyle w:val="ReferenceEntry"/>
        <w:jc w:val="left"/>
        <w:keepNext w:val="0"/>
        <w:keepLines w:val="0"/>
        <w:widowControl w:val="1"/>
      </w:pP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jc w:val="left"/>
        <w:keepNext w:val="0"/>
        <w:keepLines w:val="0"/>
        <w:widowControl w:val="1"/>
      </w:pP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jc w:val="left"/>
        <w:keepNext w:val="0"/>
        <w:keepLines w:val="0"/>
        <w:widowControl w:val="1"/>
      </w:pP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jc w:val="left"/>
        <w:keepNext w:val="0"/>
        <w:keepLines w:val="0"/>
        <w:widowControl w:val="1"/>
      </w:pP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jc w:val="left"/>
        <w:keepNext w:val="0"/>
        <w:keepLines w:val="0"/>
        <w:widowControl w:val="1"/>
      </w:pP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jc w:val="left"/>
        <w:keepNext w:val="0"/>
        <w:keepLines w:val="0"/>
        <w:widowControl w:val="1"/>
      </w:pP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jc w:val="left"/>
        <w:keepNext w:val="0"/>
        <w:keepLines w:val="0"/>
        <w:widowControl w:val="1"/>
      </w:pP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jc w:val="left"/>
        <w:keepNext w:val="0"/>
        <w:keepLines w:val="0"/>
        <w:widowControl w:val="1"/>
      </w:pP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jc w:val="left"/>
        <w:keepNext w:val="0"/>
        <w:keepLines w:val="0"/>
        <w:widowControl w:val="1"/>
      </w:pPr>
      <w:r>
        <w:t xml:space="preserve">Vygotsky, L. S. (1978). Mind in Society: The Development of Higher Psychological Processes.</w:t>
      </w:r>
      <w:r>
        <w:t xml:space="preserve"> </w:t>
      </w:r>
      <w:r>
        <w:rPr>
          <w:i/>
          <w:iCs/>
        </w:rPr>
        <w:t xml:space="preserve">Harvard University Press</w:t>
      </w:r>
      <w:r>
        <w:t xml:space="preserve">.</w:t>
      </w:r>
    </w:p>
    <w:p>
      <w:pPr>
        <w:pStyle w:val="ReferenceEntry"/>
        <w:jc w:val="left"/>
        <w:keepNext w:val="0"/>
        <w:keepLines w:val="0"/>
        <w:widowControl w:val="1"/>
      </w:pP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jc w:val="left"/>
        <w:keepNext w:val="0"/>
        <w:keepLines w:val="0"/>
        <w:widowControl w:val="1"/>
      </w:pP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jc w:val="left"/>
        <w:keepNext w:val="0"/>
        <w:keepLines w:val="0"/>
        <w:widowControl w:val="1"/>
      </w:pP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jc w:val="left"/>
        <w:keepNext w:val="0"/>
        <w:keepLines w:val="0"/>
        <w:widowControl w:val="1"/>
      </w:pP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jc w:val="left"/>
        <w:keepNext w:val="0"/>
        <w:keepLines w:val="0"/>
        <w:widowControl w:val="1"/>
      </w:pP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jc w:val="left"/>
        <w:keepNext w:val="0"/>
        <w:keepLines w:val="0"/>
        <w:widowControl w:val="1"/>
      </w:pP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jc w:val="left"/>
        <w:keepNext w:val="0"/>
        <w:keepLines w:val="0"/>
        <w:widowControl w:val="1"/>
      </w:pPr>
      <w:r>
        <w:t xml:space="preserve">Zimmerman, B. J. (2000). Attaining Self-Regulation: A Social Cognitive Perspective.</w:t>
      </w:r>
      <w:r>
        <w:t xml:space="preserve"> </w:t>
      </w:r>
      <w:r>
        <w:rPr>
          <w:i/>
          <w:iCs/>
        </w:rPr>
        <w:t xml:space="preserve">Handbook of Self-Regulation</w:t>
      </w:r>
      <w:r>
        <w:t xml:space="preserve">, 13–39.</w:t>
      </w:r>
    </w:p>
    <w:p>
      <w:pPr>
        <w:pStyle w:val="ReferenceEntry"/>
        <w:jc w:val="left"/>
        <w:keepNext w:val="0"/>
        <w:keepLines w:val="0"/>
        <w:widowControl w:val="1"/>
      </w:pP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2026-06-02T13:34:40Z</dcterms:created>
  <dcterms:modified xsi:type="dcterms:W3CDTF">2026-06-02T13:34:40Z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