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svg" ContentType="image/svg+xml"/>
  <Override PartName="/word/media/rId39.png" ContentType="image/png"/>
  <Override PartName="/word/media/rId36.png" ContentType="image/png"/>
  <Override PartName="/word/media/rId50.svg" ContentType="image/svg+xml"/>
  <Override PartName="/word/media/rId4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df9502ef5c17bbba6731875408e8426bd513f0c"/>
    <w:p>
      <w:pPr>
        <w:pStyle w:val="Heading1"/>
      </w:pPr>
      <w:r>
        <w:t xml:space="preserve">Framing, Judging, Steering: An Assessable Competency Model for Teaching Students to Reason With Generative AI</w:t>
      </w:r>
    </w:p>
    <w:p>
      <w:pPr>
        <w:pStyle w:val="FirstParagraph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  <w:r>
        <w:t xml:space="preserve"> </w:t>
      </w:r>
      <w:r>
        <w:t xml:space="preserve">{: .authors }</w:t>
      </w:r>
    </w:p>
    <w:p>
      <w:pPr>
        <w:pStyle w:val="BodyText"/>
      </w:pPr>
      <w:r>
        <w:t xml:space="preserve">¹ Holon Institute of Technology · ² Afeka College of Engineering</w:t>
      </w:r>
      <w:r>
        <w:t xml:space="preserve"> </w:t>
      </w:r>
      <w:r>
        <w:t xml:space="preserve">{: .affil }</w:t>
      </w:r>
    </w:p>
    <w:p>
      <w:pPr>
        <w:pStyle w:val="BodyText"/>
      </w:pPr>
      <w:r>
        <w:t xml:space="preserve">An open-source learning platform and instrument:</w:t>
      </w:r>
      <w:r>
        <w:t xml:space="preserve"> </w:t>
      </w:r>
      <w:hyperlink r:id="rId20">
        <w:r>
          <w:rPr>
            <w:rStyle w:val="Hyperlink"/>
          </w:rPr>
          <w:t xml:space="preserve">github.com/ApartsinProjects/CoReason</w:t>
        </w:r>
      </w:hyperlink>
      <w:r>
        <w:t xml:space="preserve"> </w:t>
      </w:r>
      <w:r>
        <w:t xml:space="preserve">{: .availability }</w:t>
      </w:r>
    </w:p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open-source learning platform</w:t>
      </w:r>
      <w:r>
        <w:t xml:space="preserve"> </w:t>
      </w:r>
      <w:r>
        <w:t xml:space="preserve">that generates ill-defined problems, confronts students with deliberately flawed AI output to improve</w:t>
      </w:r>
      <w:r>
        <w:t xml:space="preserve"> </w:t>
      </w:r>
      <w:r>
        <w:t xml:space="preserve">across judge-and-steer cycles, and scores the three skills independently with rubric-driven feedback.</w:t>
      </w:r>
      <w:r>
        <w:t xml:space="preserve"> </w:t>
      </w:r>
      <w:r>
        <w:t xml:space="preserve">Using the platform’s instrument we report a feasibility demonstration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(own-skill grade effects exceed cross-skill effects by roughly sixty to one, with near-zero inter-skill</w:t>
      </w:r>
      <w:r>
        <w:t xml:space="preserve"> </w:t>
      </w:r>
      <w:r>
        <w:t xml:space="preserve">correlations) and that the automated grader is 92% self-consistent, with simulated learners generated</w:t>
      </w:r>
      <w:r>
        <w:t xml:space="preserve"> </w:t>
      </w:r>
      <w:r>
        <w:t xml:space="preserve">and graded by different models to avoid self-grading. We make no learning-outcome claims; the evidence</w:t>
      </w:r>
      <w:r>
        <w:t xml:space="preserve"> </w:t>
      </w:r>
      <w:r>
        <w:t xml:space="preserve">establishes that the constructs are separable and automatically measurable, and we close with the</w:t>
      </w:r>
      <w:r>
        <w:t xml:space="preserve"> </w:t>
      </w:r>
      <w:r>
        <w:t xml:space="preserve">tensions a mature account must resolve and a concrete validation agenda. The system, instrument, data,</w:t>
      </w:r>
      <w:r>
        <w:t xml:space="preserve"> </w:t>
      </w:r>
      <w:r>
        <w:t xml:space="preserve">and a prepared human-rater study are released under an open-source license.</w: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(the 2024 essay-writing literature),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is sobering: human-AI teams frequently underperform the better of the human or the AI alone</w:t>
      </w:r>
      <w:r>
        <w:t xml:space="preserve"> </w:t>
      </w:r>
      <w:r>
        <w:t xml:space="preserve">(Vaccaro et al., 2024), which makes the human’s skill in directing the system, not mere access to it,</w:t>
      </w:r>
      <w:r>
        <w:t xml:space="preserve"> </w:t>
      </w:r>
      <w:r>
        <w:t xml:space="preserve">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the central evidence</w:t>
      </w:r>
      <w:r>
        <w:t xml:space="preserve"> </w:t>
      </w:r>
      <w:r>
        <w:t xml:space="preserve">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p>
      <w:pPr>
        <w:pStyle w:val="BodyText"/>
      </w:pPr>
      <w:r>
        <w:rPr>
          <w:b/>
          <w:bCs/>
        </w:rPr>
        <w:t xml:space="preserve">Availability.</w:t>
      </w:r>
      <w:r>
        <w:t xml:space="preserve"> </w:t>
      </w:r>
      <w:r>
        <w:t xml:space="preserve">The CoReasoning Lab system, the sixteen-prompt instrument, the controlled-generation</w:t>
      </w:r>
      <w:r>
        <w:t xml:space="preserve"> </w:t>
      </w:r>
      <w:r>
        <w:t xml:space="preserve">harness, the experiment data and figures, and the human-rater study package are open-source under the</w:t>
      </w:r>
      <w:r>
        <w:t xml:space="preserve"> </w:t>
      </w:r>
      <w:r>
        <w:t xml:space="preserve">MIT license at</w:t>
      </w:r>
      <w:r>
        <w:t xml:space="preserve"> </w:t>
      </w:r>
      <w:hyperlink r:id="rId20">
        <w:r>
          <w:rPr>
            <w:rStyle w:val="Hyperlink"/>
          </w:rPr>
          <w:t xml:space="preserve">https://github.com/ApartsinProjects/CoReason</w:t>
        </w:r>
      </w:hyperlink>
      <w:r>
        <w:t xml:space="preserve">.</w:t>
      </w:r>
    </w:p>
    <w:bookmarkEnd w:id="22"/>
    <w:bookmarkStart w:id="23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3"/>
    <w:bookmarkStart w:id="30" w:name="the-coreasoning-framework"/>
    <w:p>
      <w:pPr>
        <w:pStyle w:val="Heading2"/>
      </w:pPr>
      <w:r>
        <w:t xml:space="preserve">3. The CoReasoning framework</w:t>
      </w:r>
    </w:p>
    <w:bookmarkStart w:id="27" w:name="X66ab742d2d29b469acd8c125b52c7b6e582e57f"/>
    <w:p>
      <w:pPr>
        <w:pStyle w:val="Heading3"/>
      </w:pPr>
      <w:r>
        <w:t xml:space="preserve">3.1 A monitor–control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AI’s generative process is the object level the learner supervises: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5" name="Picture"/>
            <a:graphic>
              <a:graphicData uri="http://schemas.openxmlformats.org/drawingml/2006/picture">
                <pic:pic>
                  <pic:nvPicPr>
                    <pic:cNvPr descr="assets/coreasoning-architecture.svg" id="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monitor–control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7"/>
    <w:bookmarkStart w:id="28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8"/>
    <w:bookmarkStart w:id="29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9"/>
    <w:bookmarkEnd w:id="30"/>
    <w:bookmarkStart w:id="31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Paul-Elder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guidance; its quality depends on the learner monitoring the work against held standards</w:t>
      </w:r>
      <w:r>
        <w:t xml:space="preserve"> </w:t>
      </w:r>
      <w:r>
        <w:t xml:space="preserve">(Sadler, 1989) 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1"/>
    <w:bookmarkStart w:id="32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 and the primary</w:t>
      </w:r>
      <w:r>
        <w:t xml:space="preserve"> </w:t>
      </w:r>
      <w:r>
        <w:t xml:space="preserve">defense 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2"/>
    <w:bookmarkStart w:id="33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learner’s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3"/>
    <w:bookmarkStart w:id="34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is instantiated in a deployed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 —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 —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4"/>
    <w:bookmarkStart w:id="35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5"/>
    <w:bookmarkStart w:id="42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five challenges across distinct</w:t>
      </w:r>
      <w:r>
        <w:t xml:space="preserve"> </w:t>
      </w:r>
      <w:r>
        <w:t xml:space="preserve">subjects (algorithms, microeconomics, machine learning, databases, statistics), for 40 simulated</w:t>
      </w:r>
      <w:r>
        <w:t xml:space="preserve"> </w:t>
      </w:r>
      <w:r>
        <w:t xml:space="preserve">learners and 255 blind grading calls (each learner is scored by up to seven grader calls, three</w:t>
      </w:r>
      <w:r>
        <w:t xml:space="preserve"> </w:t>
      </w:r>
      <w:r>
        <w:t xml:space="preserve">skill evaluators plus a grading pass each and one steering-update call, with identical inputs cached</w:t>
      </w:r>
      <w:r>
        <w:t xml:space="preserve"> </w:t>
      </w:r>
      <w:r>
        <w:t xml:space="preserve">across profiles). Framing and Steering responses are generated by the</w:t>
      </w:r>
      <w:r>
        <w:t xml:space="preserve"> </w:t>
      </w:r>
      <w:r>
        <w:t xml:space="preserve">competence-conditioned learner model; Judging is operationalized by a competence-conditioned selection</w:t>
      </w:r>
      <w:r>
        <w:t xml:space="preserve"> </w:t>
      </w:r>
      <w:r>
        <w:t xml:space="preserve">over the challenge’s ground-truth seeded issues (a strong judge flags all real issues and no false</w:t>
      </w:r>
      <w:r>
        <w:t xml:space="preserve"> </w:t>
      </w:r>
      <w:r>
        <w:t xml:space="preserve">ones; a weak judge flags few real issues and some false ones).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+1.03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−0.017</w:t>
      </w:r>
      <w:r>
        <w:t xml:space="preserve">, so own-skill effects exceed cross-skill</w:t>
      </w:r>
      <w:r>
        <w:t xml:space="preserve"> </w:t>
      </w:r>
      <w:r>
        <w:t xml:space="preserve">effects by more than an order of magnitude (about 60 to 1). Each</w:t>
      </w:r>
      <w:r>
        <w:t xml:space="preserve"> </w:t>
      </w:r>
      <w:r>
        <w:t xml:space="preserve">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N=40).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+0.50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(+0.60, CI [+0.38, +0.81]) and Steering (+0.50, CI</w:t>
      </w:r>
      <w:r>
        <w:t xml:space="preserve"> </w:t>
      </w:r>
      <w:r>
        <w:t xml:space="preserve">[+0.18, +0.82]); Judging is deterministic by construction (+2.00). The same separation appears in the</w:t>
      </w:r>
      <w:r>
        <w:t xml:space="preserve"> </w:t>
      </w:r>
      <w:r>
        <w:t xml:space="preserve">inter-skill grade correlations across the 40 learners: Framing–Judging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0.00</m:t>
        </m:r>
      </m:oMath>
      <w:r>
        <w:t xml:space="preserve">,</w:t>
      </w:r>
      <w:r>
        <w:t xml:space="preserve"> </w:t>
      </w:r>
      <w:r>
        <w:t xml:space="preserve">Framing–Steering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0.22</m:t>
        </m:r>
      </m:oMath>
      <w:r>
        <w:t xml:space="preserve">, Judging–Steering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0.17</m:t>
        </m:r>
      </m:oMath>
      <w:r>
        <w:t xml:space="preserve">, none significant (all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0.17</m:t>
        </m:r>
      </m:oMath>
      <w:r>
        <w:t xml:space="preserve">),</w:t>
      </w:r>
      <w:r>
        <w:t xml:space="preserve"> </w:t>
      </w:r>
      <w:r>
        <w:t xml:space="preserve">and the first principal factor accounts for only 42% of the variance, far below the near-100% a single</w:t>
      </w:r>
      <w:r>
        <w:t xml:space="preserve"> </w:t>
      </w:r>
      <w:r>
        <w:t xml:space="preserve">“</w:t>
      </w:r>
      <w:r>
        <w:t xml:space="preserve">AI-use ability</w:t>
      </w:r>
      <w:r>
        <w:t xml:space="preserve">”</w:t>
      </w:r>
      <w:r>
        <w:t xml:space="preserve"> </w:t>
      </w:r>
      <w:r>
        <w:t xml:space="preserve">account would predict.</w:t>
      </w:r>
    </w:p>
    <w:p>
      <w:pPr>
        <w:pStyle w:val="BodyText"/>
      </w:pPr>
      <w:r>
        <w:t xml:space="preserve">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setting: an intervention study finds that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</w:t>
      </w:r>
      <w:r>
        <w:t xml:space="preserve"> </w:t>
      </w:r>
      <w:r>
        <w:t xml:space="preserve">queries, checking correctness) predicts effective use, whereas self-rated AI expertise does not</w:t>
      </w:r>
      <w:r>
        <w:t xml:space="preserve"> </w:t>
      </w:r>
      <w:r>
        <w:t xml:space="preserve">(Clerc et al., 2026), consistent with the skill of working with AI being distinct from, and not</w:t>
      </w:r>
      <w:r>
        <w:t xml:space="preserve"> </w:t>
      </w:r>
      <w:r>
        <w:t xml:space="preserve">reducible to, a general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7" name="Picture"/>
            <a:graphic>
              <a:graphicData uri="http://schemas.openxmlformats.org/drawingml/2006/picture">
                <pic:pic>
                  <pic:nvPicPr>
                    <pic:cNvPr descr="assets/fig_dissociation_heatmap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40" name="Picture"/>
            <a:graphic>
              <a:graphicData uri="http://schemas.openxmlformats.org/drawingml/2006/picture">
                <pic:pic>
                  <pic:nvPicPr>
                    <pic:cNvPr descr="assets/fig_contras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(+0.60, +0.50)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With three grade indicators a stable factor model is</w:t>
      </w:r>
      <w:r>
        <w:t xml:space="preserve"> </w:t>
      </w:r>
      <w:r>
        <w:t xml:space="preserve">under-identified, so we report the manipulation-based effect matrix and the inter-skill correlations</w:t>
      </w:r>
      <w:r>
        <w:t xml:space="preserve"> </w:t>
      </w:r>
      <w:r>
        <w:t xml:space="preserve">rather than an exploratory factor analysis. (iv) Steering shows the weakest own-effect (+0.50); Figure</w:t>
      </w:r>
      <w:r>
        <w:t xml:space="preserve"> </w:t>
      </w:r>
      <w:r>
        <w:t xml:space="preserve">3 indicates a grader-leniency floor, weak steering is seldom graded all the way to C, which compresses</w:t>
      </w:r>
      <w:r>
        <w:t xml:space="preserve"> </w:t>
      </w:r>
      <w:r>
        <w:t xml:space="preserve">the effect. This is partly an instrument artifact (the steering evaluator is lenient and would benefit</w:t>
      </w:r>
      <w:r>
        <w:t xml:space="preserve"> </w:t>
      </w:r>
      <w:r>
        <w:t xml:space="preserve">from a stricter rubric) and partly the confound that Proposition P2 predicts (steering quality is</w:t>
      </w:r>
      <w:r>
        <w:t xml:space="preserve"> </w:t>
      </w:r>
      <w:r>
        <w:t xml:space="preserve">bounded by the judging it follows). Disentangling the two requires a harsher steering rubric and human</w:t>
      </w:r>
      <w:r>
        <w:t xml:space="preserve"> </w:t>
      </w:r>
      <w:r>
        <w:t xml:space="preserve">calibration, which we leave to the validation study.</w:t>
      </w:r>
    </w:p>
    <w:bookmarkEnd w:id="42"/>
    <w:bookmarkStart w:id="43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3"/>
    <w:bookmarkStart w:id="44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4"/>
    <w:bookmarkStart w:id="45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deployed prototype’s engine is llama-3.3-70b, and whether the dissociation</w:t>
      </w:r>
      <w:r>
        <w:t xml:space="preserve"> </w:t>
      </w:r>
      <w:r>
        <w:t xml:space="preserve">replicates across grader backends remains to be shown. The challenges are English-language, and the</w:t>
      </w:r>
      <w:r>
        <w:t xml:space="preserve"> </w:t>
      </w:r>
      <w:r>
        <w:t xml:space="preserve">automated grades have not yet been validated against human experts (Section 10). We make no</w:t>
      </w:r>
      <w:r>
        <w:t xml:space="preserve"> </w:t>
      </w:r>
      <w:r>
        <w:t xml:space="preserve">learning-outcome claim. What the paper establishes is conceptual: a theoretically-grounded</w:t>
      </w:r>
      <w:r>
        <w:t xml:space="preserve"> </w:t>
      </w:r>
      <w:r>
        <w:t xml:space="preserve">decomposition with stated propositions, a precise novelty boundary, and evidence that the three</w:t>
      </w:r>
      <w:r>
        <w:t xml:space="preserve"> </w:t>
      </w:r>
      <w:r>
        <w:t xml:space="preserve">constructs are separable and automatically measurable.</w:t>
      </w:r>
    </w:p>
    <w:bookmarkEnd w:id="45"/>
    <w:bookmarkStart w:id="46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6"/>
    <w:bookmarkStart w:id="53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8" name="Picture"/>
            <a:graphic>
              <a:graphicData uri="http://schemas.openxmlformats.org/drawingml/2006/picture">
                <pic:pic>
                  <pic:nvPicPr>
                    <pic:cNvPr descr="assets/system-mockup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Judge–Steer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1" name="Picture"/>
            <a:graphic>
              <a:graphicData uri="http://schemas.openxmlformats.org/drawingml/2006/picture">
                <pic:pic>
                  <pic:nvPicPr>
                    <pic:cNvPr descr="assets/interface-gallery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3"/>
    <w:bookmarkStart w:id="5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Bu{</w:t>
      </w:r>
      <w:r>
        <w:t xml:space="preserve">}inca,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Sauz{'e}on,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Ga{</w:t>
      </w:r>
      <w:r>
        <w:t xml:space="preserve">}evi{'c},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Nazaretsky, T., Gabbay, H., &amp; K{"a}ser,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Cl{'e}ment,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{UNESCO}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svg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50" Target="media/rId50.svg" /><Relationship Type="http://schemas.openxmlformats.org/officeDocument/2006/relationships/image" Id="rId47" Target="media/rId47.svg" /><Relationship Type="http://schemas.openxmlformats.org/officeDocument/2006/relationships/hyperlink" Id="rId20" Target="https://github.com/ApartsinProjects/CoRea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ApartsinProjects/CoRea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2026-06-01T07:32:55Z</dcterms:created>
  <dcterms:modified xsi:type="dcterms:W3CDTF">2026-06-01T07:32:55Z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