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df9502ef5c17bbba6731875408e8426bd513f0c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Framing, Judging, Steering: An Assessable Competency Model for Teaching Students to Reason With Generative AI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bCs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</w:rPr>
        <w:t xml:space="preserve">¹ and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bCs/>
          <w:i w:val="0"/>
          <w:sz w:val="24"/>
        </w:rPr>
        <w:t xml:space="preserve">Yehudit Aperstein</w:t>
      </w:r>
      <w:r>
        <w:rPr>
          <w:rFonts w:ascii="Times New Roman" w:hAnsi="Times New Roman"/>
          <w:b/>
          <w:i w:val="0"/>
          <w:sz w:val="24"/>
        </w:rPr>
        <w:t xml:space="preserve">²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¹ Holon Institute of Technology · ² Afeka College of Engineering</w:t>
      </w:r>
    </w:p>
    <w:bookmarkStart w:id="9" w:name="abstract"/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Generative AI makes it trivial to obtain an answer and difficult to obtain understanding, and uncritical</w:t>
      </w:r>
      <w:r>
        <w:t xml:space="preserve"> </w:t>
      </w:r>
      <w:r>
        <w:t xml:space="preserve">use is increasingly linked to cognitive offloading and weakened critical thinking. This exposes a</w:t>
      </w:r>
      <w:r>
        <w:t xml:space="preserve"> </w:t>
      </w:r>
      <w:r>
        <w:t xml:space="preserve">mismatch between what education assesses and what students now do: our examinations still measure</w:t>
      </w:r>
      <w:r>
        <w:t xml:space="preserve"> </w:t>
      </w:r>
      <w:r>
        <w:rPr>
          <w:i/>
          <w:iCs/>
        </w:rPr>
        <w:t xml:space="preserve">unaided</w:t>
      </w:r>
      <w:r>
        <w:t xml:space="preserve"> </w:t>
      </w:r>
      <w:r>
        <w:t xml:space="preserve">performance, while the task graduates actually face, in classrooms and workplaces saturated</w:t>
      </w:r>
      <w:r>
        <w:t xml:space="preserve"> </w:t>
      </w:r>
      <w:r>
        <w:t xml:space="preserve">with capable AI, is to produce good work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it, by framing an ill-defined task, judging the output,</w:t>
      </w:r>
      <w:r>
        <w:t xml:space="preserve"> </w:t>
      </w:r>
      <w:r>
        <w:t xml:space="preserve">and steering the model toward something better. As models absorb more of the execution, this</w:t>
      </w:r>
      <w:r>
        <w:t xml:space="preserve"> </w:t>
      </w:r>
      <w:r>
        <w:t xml:space="preserve">collaborative work is the part of competent performance that stays with the person, which is precisely</w:t>
      </w:r>
      <w:r>
        <w:t xml:space="preserve"> </w:t>
      </w:r>
      <w:r>
        <w:t xml:space="preserve">what assessment must now target. This ability to work with AI is neither taught nor</w:t>
      </w:r>
      <w:r>
        <w:t xml:space="preserve"> </w:t>
      </w:r>
      <w:r>
        <w:t xml:space="preserve">assessed as a competency in its own right; where it is measured at all, it is folded into a single</w:t>
      </w:r>
      <w:r>
        <w:t xml:space="preserve"> </w:t>
      </w:r>
      <w:r>
        <w:t xml:space="preserve">"prompting" score that cannot diagnose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given learner's AI use succeeds or fails (whether they</w:t>
      </w:r>
      <w:r>
        <w:t xml:space="preserve"> </w:t>
      </w:r>
      <w:r>
        <w:t xml:space="preserve">specified the task poorly, missed the flaws in the output, or failed to correct them). We treat it</w:t>
      </w:r>
      <w:r>
        <w:t xml:space="preserve"> </w:t>
      </w:r>
      <w:r>
        <w:t xml:space="preserve">instead as a teachable, assessable competency that can be named, decomposed, and measured. 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factors productive work with</w:t>
      </w:r>
      <w:r>
        <w:t xml:space="preserve"> </w:t>
      </w:r>
      <w:r>
        <w:t xml:space="preserve">generative AI into three temporally and cognitively distinct, independently-assessable skills:</w:t>
      </w:r>
      <w:r>
        <w:t xml:space="preserve"> </w:t>
      </w:r>
      <w:r>
        <w:rPr>
          <w:b/>
          <w:bCs/>
        </w:rPr>
        <w:t xml:space="preserve">Framing</w:t>
      </w:r>
      <w:r>
        <w:t xml:space="preserve"> </w:t>
      </w:r>
      <w:r>
        <w:t xml:space="preserve">(transforming an ill-defined problem into a well-specified task before invoking AI),</w:t>
      </w:r>
      <w:r>
        <w:t xml:space="preserve"> </w:t>
      </w:r>
      <w:r>
        <w:rPr>
          <w:b/>
          <w:bCs/>
        </w:rPr>
        <w:t xml:space="preserve">Judging</w:t>
      </w:r>
      <w:r>
        <w:t xml:space="preserve"> </w:t>
      </w:r>
      <w:r>
        <w:t xml:space="preserve">(critically evaluating AI output for errors, gaps, unstated assumptions, and risk),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Steering</w:t>
      </w:r>
      <w:r>
        <w:t xml:space="preserve"> </w:t>
      </w:r>
      <w:r>
        <w:t xml:space="preserve">(iteratively redirecting the AI toward a better solution across cycles). The</w:t>
      </w:r>
      <w:r>
        <w:t xml:space="preserve"> </w:t>
      </w:r>
      <w:r>
        <w:t xml:space="preserve">central structural claim that distinguishes CoReasoning from existing AI- and prompt-literacy</w:t>
      </w:r>
      <w:r>
        <w:t xml:space="preserve"> </w:t>
      </w:r>
      <w:r>
        <w:t xml:space="preserve">frameworks is the</w:t>
      </w:r>
      <w:r>
        <w:t xml:space="preserve"> </w:t>
      </w:r>
      <w:r>
        <w:rPr>
          <w:i/>
          <w:iCs/>
        </w:rPr>
        <w:t xml:space="preserve">separation of the pre-generation skill (Framing) from the post-generation</w:t>
      </w:r>
      <w:r>
        <w:rPr>
          <w:i/>
          <w:iCs/>
        </w:rPr>
        <w:t xml:space="preserve"> </w:t>
      </w:r>
      <w:r>
        <w:rPr>
          <w:i/>
          <w:iCs/>
        </w:rPr>
        <w:t xml:space="preserve">corrective skill (Steering)</w:t>
      </w:r>
      <w:r>
        <w:t xml:space="preserve">, with Judging as the epistemic gate between them. We ground each skill</w:t>
      </w:r>
      <w:r>
        <w:t xml:space="preserve"> </w:t>
      </w:r>
      <w:r>
        <w:t xml:space="preserve">in established theory (metacognitive monitoring and control; self-regulated learning; epistemic</w:t>
      </w:r>
      <w:r>
        <w:t xml:space="preserve"> </w:t>
      </w:r>
      <w:r>
        <w:t xml:space="preserve">vigilance and critical thinking; productive struggle), and state five testable propositions about how</w:t>
      </w:r>
      <w:r>
        <w:t xml:space="preserve"> </w:t>
      </w:r>
      <w:r>
        <w:t xml:space="preserve">the skills relate. We instantiate the model in</w:t>
      </w:r>
      <w:r>
        <w:t xml:space="preserve"> </w:t>
      </w:r>
      <w:r>
        <w:rPr>
          <w:b/>
          <w:bCs/>
        </w:rPr>
        <w:t xml:space="preserve">CoReasoning Lab</w:t>
      </w:r>
      <w:r>
        <w:t xml:space="preserve">, an open learning platform</w:t>
      </w:r>
      <w:r>
        <w:t xml:space="preserve"> </w:t>
      </w:r>
      <w:r>
        <w:t xml:space="preserve">that presents deliberately flawed AI output for students to judge and steer, and scores the three</w:t>
      </w:r>
      <w:r>
        <w:t xml:space="preserve"> </w:t>
      </w:r>
      <w:r>
        <w:t xml:space="preserve">skills independently. In a feasibility demonstration over</w:t>
      </w:r>
      <w:r>
        <w:t xml:space="preserve"> </w:t>
      </w:r>
      <w:r>
        <w:rPr>
          <w:i/>
          <w:iCs/>
        </w:rPr>
        <w:t xml:space="preserve">simulated</w:t>
      </w:r>
      <w:r>
        <w:t xml:space="preserve"> </w:t>
      </w:r>
      <w:r>
        <w:t xml:space="preserve">learners (generated by one model and graded by a</w:t>
      </w:r>
      <w:r>
        <w:t xml:space="preserve"> </w:t>
      </w:r>
      <w:r>
        <w:t xml:space="preserve">different one to avoid self-grading),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The result is carried by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 free-text responses the grader scores without</w:t>
      </w:r>
      <w:r>
        <w:t xml:space="preserve"> </w:t>
      </w:r>
      <w:r>
        <w:t xml:space="preserve">knowing the intended competence: each moves with its own manipulated competence while staying flat in</w:t>
      </w:r>
      <w:r>
        <w:t xml:space="preserve"> </w:t>
      </w:r>
      <w:r>
        <w:t xml:space="preserve">the others, and the cleanest pair (Framing and Judging) is uncorrelated despite being scored by</w:t>
      </w:r>
      <w:r>
        <w:t xml:space="preserve"> </w:t>
      </w:r>
      <w:r>
        <w:t xml:space="preserve">entirely separate mechanisms. The same instrument returns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grades when a single competence</w:t>
      </w:r>
      <w:r>
        <w:t xml:space="preserve"> </w:t>
      </w:r>
      <w:r>
        <w:t xml:space="preserve">is shared across the three skills, so the separation reflects the learners rather than the scoring</w:t>
      </w:r>
      <w:r>
        <w:t xml:space="preserve"> </w:t>
      </w:r>
      <w:r>
        <w:t xml:space="preserve">(convergent and discriminant validity). The separation holds under three grader backends spanning two</w:t>
      </w:r>
      <w:r>
        <w:t xml:space="preserve"> </w:t>
      </w:r>
      <w:r>
        <w:t xml:space="preserve">providers, which also agree on each skill at the per-learner level, and the grader is highly</w:t>
      </w:r>
      <w:r>
        <w:t xml:space="preserve"> </w:t>
      </w:r>
      <w:r>
        <w:t xml:space="preserve">self-consistent on repeat. The constructs are therefore separable and automatically scoreable; agreement with human raters and learning outcomes are the defined next</w:t>
      </w:r>
      <w:r>
        <w:t xml:space="preserve"> </w:t>
      </w:r>
      <w:r>
        <w:t xml:space="preserve">steps of the program, for which we release a prepared validation protocol alongside the instrument and</w:t>
      </w:r>
      <w:r>
        <w:t xml:space="preserve"> </w:t>
      </w:r>
      <w:r>
        <w:t xml:space="preserve">data.</w:t>
      </w:r>
    </w:p>
    <w:bookmarkEnd w:id="9"/>
    <w:bookmarkStart w:id="13" w:name="Xe3d0fc0bea9a42ce7605565d0964033d7f6ee47"/>
    <w:p>
      <w:pPr>
        <w:pStyle w:val="Heading2"/>
        <w:keepNext/>
        <w:keepLines/>
        <w:widowControl w:val="1"/>
      </w:pPr>
      <w:r>
        <w:t xml:space="preserve">1. 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Most AI-in-education tools optimize for the wrong variable. They shorten the path from question to</w:t>
      </w:r>
      <w:r>
        <w:t xml:space="preserve"> </w:t>
      </w:r>
      <w:r>
        <w:t xml:space="preserve">answer, when the answer was never the point of education. The cognitive work of specifying a problem,</w:t>
      </w:r>
      <w:r>
        <w:t xml:space="preserve"> </w:t>
      </w:r>
      <w:r>
        <w:t xml:space="preserve">evaluating a candidate solution, and improving it is where learning happens; when that work is</w:t>
      </w:r>
      <w:r>
        <w:t xml:space="preserve"> </w:t>
      </w:r>
      <w:r>
        <w:t xml:space="preserve">delegated wholesale to a machine, the learner walks away with a correct artifact and an unchanged mind.</w:t>
      </w:r>
      <w:r>
        <w:t xml:space="preserve"> </w:t>
      </w:r>
      <w:r>
        <w:t xml:space="preserve">The educational opportunity of generative AI is therefore not to deliver answers faster, but to make</w:t>
      </w:r>
      <w:r>
        <w:t xml:space="preserve"> </w:t>
      </w:r>
      <w:r>
        <w:t xml:space="preserve">the reasoning around them visible, practiced, and assessable.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 "metacognitive</w:t>
      </w:r>
      <w:r>
        <w:t xml:space="preserve"> </w:t>
      </w:r>
      <w:r>
        <w:t xml:space="preserve">laziness," in which learners bypass the self-regulatory processes of diagnosing, evaluating, and</w:t>
      </w:r>
      <w:r>
        <w:t xml:space="preserve"> </w:t>
      </w:r>
      <w:r>
        <w:t xml:space="preserve">revising (Fan et al., 2025), and neurophysiological work describes an accumulation</w:t>
      </w:r>
      <w:r>
        <w:t xml:space="preserve"> </w:t>
      </w:r>
      <w:r>
        <w:t xml:space="preserve">of "cognitive debt" when an assistant carries the reasoning load (Kosmyna et al., 2025). At the same</w:t>
      </w:r>
      <w:r>
        <w:t xml:space="preserve"> </w:t>
      </w:r>
      <w:r>
        <w:t xml:space="preserve">time, field studies of professional AI use show that the benefit of AI is sharply conditional on the</w:t>
      </w:r>
      <w:r>
        <w:t xml:space="preserve"> </w:t>
      </w:r>
      <w:r>
        <w:t xml:space="preserve">user's skill in directing it: assistance helps inside a model's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(Dell'Acqua et al., 2023), and the most effective users adopt an iterative, critical</w:t>
      </w:r>
      <w:r>
        <w:t xml:space="preserve"> </w:t>
      </w:r>
      <w:r>
        <w:t xml:space="preserve">"push-back-and-validate" mode rather than wholesale delegation (Randazzo et al., 2025). Meta-analytic</w:t>
      </w:r>
      <w:r>
        <w:t xml:space="preserve"> </w:t>
      </w:r>
      <w:r>
        <w:t xml:space="preserve">evidence underscores the stakes: human-AI teams frequently underperform the better of the human or the</w:t>
      </w:r>
      <w:r>
        <w:t xml:space="preserve"> </w:t>
      </w:r>
      <w:r>
        <w:t xml:space="preserve">AI alone (Vaccaro et al., 2024), which makes the human's skill in directing the system, not mere access</w:t>
      </w:r>
      <w:r>
        <w:t xml:space="preserve"> </w:t>
      </w:r>
      <w:r>
        <w:t xml:space="preserve">to it, the decisive variable.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This echoes the</w:t>
      </w:r>
      <w:r>
        <w:t xml:space="preserve"> </w:t>
      </w:r>
      <w:r>
        <w:t xml:space="preserve">long-standing distinction between the effects obtained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technology during use and the cognitive</w:t>
      </w:r>
      <w:r>
        <w:t xml:space="preserve"> </w:t>
      </w:r>
      <w:r>
        <w:t xml:space="preserve">residue left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it, which depends on the learner's mindful engagement in the partnership</w:t>
      </w:r>
      <w:r>
        <w:t xml:space="preserve"> </w:t>
      </w:r>
      <w:r>
        <w:t xml:space="preserve">(Salomon et al., 1991).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learner's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 "prompting" score conflates them.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trajectory is not transient, and that is what raises the stakes for assessment. As models absorb</w:t>
      </w:r>
      <w:r>
        <w:t xml:space="preserve"> </w:t>
      </w:r>
      <w:r>
        <w:t xml:space="preserve">more of the execution, the human contribution does not disappear; it concentrates in the operations a</w:t>
      </w:r>
      <w:r>
        <w:t xml:space="preserve"> </w:t>
      </w:r>
      <w:r>
        <w:t xml:space="preserve">system cannot perform on its own behalf: choosing which problem is worth solving and specifying it,</w:t>
      </w:r>
      <w:r>
        <w:t xml:space="preserve"> </w:t>
      </w:r>
      <w:r>
        <w:t xml:space="preserve">judging whether a fluent output is actually right, and redirecting the model when it is not. The field</w:t>
      </w:r>
      <w:r>
        <w:t xml:space="preserve"> </w:t>
      </w:r>
      <w:r>
        <w:t xml:space="preserve">evidence that AI's value is conditional on the user's skill (Dell'Acqua et al., 2023; Vaccaro et al.,</w:t>
      </w:r>
      <w:r>
        <w:t xml:space="preserve"> </w:t>
      </w:r>
      <w:r>
        <w:t xml:space="preserve">2024) implies that this conditioning tightens rather than loosens as systems improve, so the durable,</w:t>
      </w:r>
      <w:r>
        <w:t xml:space="preserve"> </w:t>
      </w:r>
      <w:r>
        <w:t xml:space="preserve">assessable human skill shifts from executing a task to framing, judging, and steering it (Acar, 2023;</w:t>
      </w:r>
      <w:r>
        <w:t xml:space="preserve"> </w:t>
      </w:r>
      <w:r>
        <w:t xml:space="preserve">Denny et al., 2024) (Figure 1). An assessment that still measures unaided execution therefore measures</w:t>
      </w:r>
      <w:r>
        <w:t xml:space="preserve"> </w:t>
      </w:r>
      <w:r>
        <w:t xml:space="preserve">a shrinking part of what competent work will require.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71799"/>
            <wp:effectExtent b="0" l="0" r="0" t="0"/>
            <wp:docPr descr="Figure 1. As model capability rises, the human contribution concentrates in Framing, Judging, and Steering." title="" id="11" name="Picture"/>
            <a:graphic>
              <a:graphicData uri="http://schemas.openxmlformats.org/drawingml/2006/picture">
                <pic:pic>
                  <pic:nvPicPr>
                    <pic:cNvPr descr="C:/Users/apart/AppData/Local/Temp/html2doc_svg_5gQ2iV/svg_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1 (schematic). As models absorb more of the execution, the part of a task a competent person</w:t>
      </w:r>
      <w:r>
        <w:rPr>
          <w:i/>
          <w:iCs/>
        </w:rPr>
        <w:t xml:space="preserve"> </w:t>
      </w:r>
      <w:r>
        <w:rPr>
          <w:i/>
          <w:iCs/>
        </w:rPr>
        <w:t xml:space="preserve">must still own shifts from doing the work toward framing, judging, and steering it; the axes are</w:t>
      </w:r>
      <w:r>
        <w:rPr>
          <w:i/>
          <w:iCs/>
        </w:rPr>
        <w:t xml:space="preserve"> </w:t>
      </w:r>
      <w:r>
        <w:rPr>
          <w:i/>
          <w:iCs/>
        </w:rPr>
        <w:t xml:space="preserve">conceptual, not quantitative. CoReasoning is a decomposition and assessment of that shifting</w:t>
      </w:r>
      <w:r>
        <w:rPr>
          <w:i/>
          <w:iCs/>
        </w:rPr>
        <w:t xml:space="preserve"> </w:t>
      </w:r>
      <w:r>
        <w:rPr>
          <w:i/>
          <w:iCs/>
        </w:rPr>
        <w:t xml:space="preserve">contribution.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decomposes productive work with generative AI into</w:t>
      </w:r>
      <w:r>
        <w:t xml:space="preserve"> </w:t>
      </w:r>
      <w:r>
        <w:t xml:space="preserve">three distinct skills, each independently assessable: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AI's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contributions: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 (Framing, Judging, and Steering),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the decomposition is principled rather</w:t>
      </w:r>
      <w:r>
        <w:t xml:space="preserve"> </w:t>
      </w:r>
      <w:r>
        <w:t xml:space="preserve">than ad hoc.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which is what turns a taxonomy into a conceptual contribution that proposes new</w:t>
      </w:r>
      <w:r>
        <w:t xml:space="preserve"> </w:t>
      </w:r>
      <w:r>
        <w:t xml:space="preserve">relationships among constructs (Gilson &amp; Goldberg, 2015; Jaakkola, 2020).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stating exactly what is and is not new.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proof-of-concept instrument and feasibility demonstration</w:t>
      </w:r>
      <w:r>
        <w:t xml:space="preserve"> </w:t>
      </w:r>
      <w:r>
        <w:t xml:space="preserve">showing that the three skills can be</w:t>
      </w:r>
      <w:r>
        <w:t xml:space="preserve"> </w:t>
      </w:r>
      <w:r>
        <w:t xml:space="preserve">scored automatically, with a multitrait-multimethod validity analysis (three grader backends across</w:t>
      </w:r>
      <w:r>
        <w:t xml:space="preserve"> </w:t>
      </w:r>
      <w:r>
        <w:t xml:space="preserve">two vendors; shared- versus independent-competence populations) giving convergent and discriminant</w:t>
      </w:r>
      <w:r>
        <w:t xml:space="preserve"> </w:t>
      </w:r>
      <w:r>
        <w:t xml:space="preserve">evidence that the skills are separately measurable, not one relabeled "prompting" skill.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reproducible, released artifact</w:t>
      </w:r>
      <w:r>
        <w:t xml:space="preserve"> </w:t>
      </w:r>
      <w:r>
        <w:t xml:space="preserve">(the assessment instrument and the experiment data) together</w:t>
      </w:r>
      <w:r>
        <w:t xml:space="preserve"> </w:t>
      </w:r>
      <w:r>
        <w:t xml:space="preserve">with a fully prepared human-rater validation protocol for the community to run.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empirical material is a feasibility demonstration of</w:t>
      </w:r>
      <w:r>
        <w:t xml:space="preserve"> </w:t>
      </w:r>
      <w:r>
        <w:rPr>
          <w:i/>
          <w:iCs/>
        </w:rPr>
        <w:t xml:space="preserve">construct separability and measurability</w:t>
      </w:r>
      <w:r>
        <w:t xml:space="preserve">;</w:t>
      </w:r>
      <w:r>
        <w:t xml:space="preserve"> </w:t>
      </w:r>
      <w:r>
        <w:t xml:space="preserve">the efficacy study that tests learning outcomes is the next stage of the program (Section 10).</w:t>
      </w:r>
    </w:p>
    <w:bookmarkEnd w:id="13"/>
    <w:bookmarkStart w:id="14" w:name="Xc80aad60eb1ce9c76f3f6e8ebe48a2f3b3f278b"/>
    <w:p>
      <w:pPr>
        <w:pStyle w:val="Heading2"/>
        <w:keepNext/>
        <w:keepLines/>
        <w:widowControl w:val="1"/>
      </w:pPr>
      <w:r>
        <w:t xml:space="preserve">2. The problem with current AI-literacy assessment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instruments for assessing how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 "prompting" 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cost of this coarse resolution is diagnostic. When a learner's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 (teaching problem</w:t>
      </w:r>
      <w:r>
        <w:t xml:space="preserve"> </w:t>
      </w:r>
      <w:r>
        <w:t xml:space="preserve">specification, teaching critical evaluation, and teaching corrective communication),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AI's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CoReasoning addresses.</w:t>
      </w:r>
    </w:p>
    <w:bookmarkEnd w:id="14"/>
    <w:bookmarkStart w:id="21" w:name="X633cad0d74cfeb5d5acc5b289e740398e9962c8"/>
    <w:p>
      <w:pPr>
        <w:pStyle w:val="Heading2"/>
        <w:keepNext/>
        <w:keepLines/>
        <w:widowControl w:val="1"/>
      </w:pPr>
      <w:r>
        <w:t xml:space="preserve">3. The CoReasoning framework</w:t>
      </w:r>
    </w:p>
    <w:bookmarkStart w:id="18" w:name="Xe68b6e3303f1e693b99eac37e4ff2b8b0d9c1ec"/>
    <w:p>
      <w:pPr>
        <w:pStyle w:val="Heading3"/>
        <w:keepNext/>
        <w:keepLines/>
        <w:widowControl w:val="1"/>
      </w:pPr>
      <w:r>
        <w:t xml:space="preserve">3.1 A monitor-control architecture with an upstream task-definition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three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CoReasoning, the learner's meta level supervises an object level that is</w:t>
      </w:r>
      <w:r>
        <w:t xml:space="preserve"> </w:t>
      </w:r>
      <w:r>
        <w:rPr>
          <w:i/>
          <w:iCs/>
        </w:rPr>
        <w:t xml:space="preserve">external</w:t>
      </w:r>
      <w:r>
        <w:t xml:space="preserve">, the AI's</w:t>
      </w:r>
      <w:r>
        <w:t xml:space="preserve"> </w:t>
      </w:r>
      <w:r>
        <w:t xml:space="preserve">generative process, rather than the learner's own cognition. This is a deliberate extension of the</w:t>
      </w:r>
      <w:r>
        <w:t xml:space="preserve"> </w:t>
      </w:r>
      <w:r>
        <w:t xml:space="preserve">Nelson-Narens architecture from intrapersonal monitoring to what we term</w:t>
      </w:r>
      <w:r>
        <w:t xml:space="preserve"> </w:t>
      </w:r>
      <w:r>
        <w:rPr>
          <w:i/>
          <w:iCs/>
        </w:rPr>
        <w:t xml:space="preserve">exo-directed</w:t>
      </w:r>
      <w:r>
        <w:t xml:space="preserve"> </w:t>
      </w:r>
      <w:r>
        <w:t xml:space="preserve">monitoring and</w:t>
      </w:r>
      <w:r>
        <w:t xml:space="preserve"> </w:t>
      </w:r>
      <w:r>
        <w:t xml:space="preserve">control, and it is the framework's central theoretical move: the same metacognitive machinery is turned</w:t>
      </w:r>
      <w:r>
        <w:t xml:space="preserve"> </w:t>
      </w:r>
      <w:r>
        <w:t xml:space="preserve">outward onto a fallible cognitive artifact. This extension is non-trivial. Exo-directed monitoring adds</w:t>
      </w:r>
      <w:r>
        <w:t xml:space="preserve"> </w:t>
      </w:r>
      <w:r>
        <w:t xml:space="preserve">an epistemic-vigilance burden that self-monitoring does not have: the learner must judge the reliability</w:t>
      </w:r>
      <w:r>
        <w:t xml:space="preserve"> </w:t>
      </w:r>
      <w:r>
        <w:t xml:space="preserve">of a source whose competence differs from, and is hidden from, their own. This is exactly why Judging is</w:t>
      </w:r>
      <w:r>
        <w:t xml:space="preserve"> </w:t>
      </w:r>
      <w:r>
        <w:t xml:space="preserve">bounded by domain knowledge (Proposition P4). With that point made, the mapping is direct: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coexist by stipulation</w:t>
      </w:r>
      <w:r>
        <w:t xml:space="preserve"> </w:t>
      </w:r>
      <w:r>
        <w:t xml:space="preserve">(Figure 2).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406697"/>
            <wp:effectExtent b="0" l="0" r="0" t="0"/>
            <wp:docPr descr="Figure 2. The CoReasoning architecture." title="" id="16" name="Picture"/>
            <a:graphic>
              <a:graphicData uri="http://schemas.openxmlformats.org/drawingml/2006/picture">
                <pic:pic>
                  <pic:nvPicPr>
                    <pic:cNvPr descr="C:/Users/apart/AppData/Local/Temp/html2doc_svg_5gQ2iV/svg_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066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2. The CoReasoning loop. An upstream task definition (Framing, a self-regulated-learning</w:t>
      </w:r>
      <w:r>
        <w:rPr>
          <w:i/>
          <w:iCs/>
        </w:rPr>
        <w:t xml:space="preserve"> </w:t>
      </w:r>
      <w:r>
        <w:rPr>
          <w:i/>
          <w:iCs/>
        </w:rPr>
        <w:t xml:space="preserve">forethought activity) sets the standards against which a metacognitive monitor-control cycle (Judging</w:t>
      </w:r>
      <w:r>
        <w:rPr>
          <w:i/>
          <w:iCs/>
        </w:rPr>
        <w:t xml:space="preserve"> </w:t>
      </w:r>
      <w:r>
        <w:rPr>
          <w:i/>
          <w:iCs/>
        </w:rPr>
        <w:t xml:space="preserve">then Steering) supervises a fallible AI at the object level. Judging is the monitor's read-out;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is the controller's write.</w:t>
      </w:r>
    </w:p>
    <w:bookmarkEnd w:id="18"/>
    <w:bookmarkStart w:id="19" w:name="X1eb66af04d4702fef1ddf2edf668648ed034024"/>
    <w:p>
      <w:pPr>
        <w:pStyle w:val="Heading3"/>
        <w:keepNext/>
        <w:keepLines/>
        <w:widowControl w:val="1"/>
      </w:pPr>
      <w:r>
        <w:t xml:space="preserve">3.2 The temporal-separation claim (what makes the decomposition non-obvious)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frameworks treat "use the AI well" as one skill or, at most, pair "prompt" with "evaluate."</w:t>
      </w:r>
      <w:r>
        <w:t xml:space="preserve"> </w:t>
      </w:r>
      <w:r>
        <w:t xml:space="preserve">CoReasoning's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 "prompting" hides exactly the</w:t>
      </w:r>
      <w:r>
        <w:t xml:space="preserve"> </w:t>
      </w:r>
      <w:r>
        <w:t xml:space="preserve">distinctions an educator needs.</w:t>
      </w:r>
    </w:p>
    <w:bookmarkEnd w:id="19"/>
    <w:bookmarkStart w:id="20" w:name="Xdb2b1112fd00524e4d1e38ed327bda10bf491fe"/>
    <w:p>
      <w:pPr>
        <w:pStyle w:val="Heading3"/>
        <w:keepNext/>
        <w:keepLines/>
        <w:widowControl w:val="1"/>
      </w:pPr>
      <w:r>
        <w:t xml:space="preserve">3.3 Distinguishing Judging from Steering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 "improve</w:t>
      </w:r>
      <w:r>
        <w:t xml:space="preserve"> </w:t>
      </w:r>
      <w:r>
        <w:t xml:space="preserve">this"), and effectiveness (whether the output actually converges). In the monitor-control terms of</w:t>
      </w:r>
      <w:r>
        <w:t xml:space="preserve"> </w:t>
      </w:r>
      <w:r>
        <w:t xml:space="preserve">Section 3.1, Judging is the monitor's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controller's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skill's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0"/>
    <w:bookmarkEnd w:id="21"/>
    <w:bookmarkStart w:id="22" w:name="X33559beceade9e011829ba0dfd35bbac6035713"/>
    <w:p>
      <w:pPr>
        <w:pStyle w:val="Heading2"/>
        <w:keepNext/>
        <w:keepLines/>
        <w:widowControl w:val="1"/>
      </w:pPr>
      <w:r>
        <w:t xml:space="preserve">4. Theoretical grounding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Zimmerman's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Bloom's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 and Elder (2006)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Chinn's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 and the broader automation-complacency it</w:t>
      </w:r>
      <w:r>
        <w:t xml:space="preserve"> </w:t>
      </w:r>
      <w:r>
        <w:t xml:space="preserve">extends (Parasuraman &amp; Manzey, 2010).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on whether learners can evaluate AI output quality as experts do (Nazaretsky et al., 2025).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inverts cognitive-apprenticeship coaching and</w:t>
      </w:r>
      <w:r>
        <w:t xml:space="preserve"> </w:t>
      </w:r>
      <w:r>
        <w:t xml:space="preserve">scaffolding (Collins, Brown &amp; Newman, 1989): the learner, not the master, supplies the corrective</w:t>
      </w:r>
      <w:r>
        <w:t xml:space="preserve"> </w:t>
      </w:r>
      <w:r>
        <w:t xml:space="preserve">guidance. Its quality depends on the learner monitoring the work against held standards (Sadler, 1989),</w:t>
      </w:r>
      <w:r>
        <w:t xml:space="preserve"> </w:t>
      </w:r>
      <w:r>
        <w:t xml:space="preserve">and is well described by feed-forward, the "where to next" component of effective feedback</w:t>
      </w:r>
      <w:r>
        <w:t xml:space="preserve"> </w:t>
      </w:r>
      <w:r>
        <w:t xml:space="preserve">(Hattie &amp; Timperley, 2007).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learner's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CoReasoning's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22"/>
    <w:bookmarkStart w:id="23" w:name="Xe47ed403f4ce49fb25f912e3b7155b566fcd076"/>
    <w:p>
      <w:pPr>
        <w:pStyle w:val="Heading2"/>
        <w:keepNext/>
        <w:keepLines/>
        <w:widowControl w:val="1"/>
      </w:pPr>
      <w:r>
        <w:t xml:space="preserve">5. Propositions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claim, and it establishes</w:t>
      </w:r>
      <w:r>
        <w:t xml:space="preserve"> </w:t>
      </w:r>
      <w:r>
        <w:t xml:space="preserve">that the three skills are genuinely distinct rather than a relabeling of "prompting."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10),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23"/>
    <w:bookmarkStart w:id="24" w:name="X7e2be599b6fb27f7d4655c10155b63b05f9aa9d"/>
    <w:p>
      <w:pPr>
        <w:pStyle w:val="Heading2"/>
        <w:keepNext/>
        <w:keepLines/>
        <w:widowControl w:val="1"/>
      </w:pPr>
      <w:r>
        <w:t xml:space="preserve">6. Relation to prior frameworks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constructs that compose CoReasoning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by confronting the nearest priors directly.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AI-fluency frameworks.</w:t>
      </w:r>
      <w:r>
        <w:t xml:space="preserve"> </w:t>
      </w:r>
      <w:r>
        <w:t xml:space="preserve">The closest practitioner framework is the 4D model of AI fluency (Dakan &amp;</w:t>
      </w:r>
      <w:r>
        <w:t xml:space="preserve"> </w:t>
      </w:r>
      <w:r>
        <w:t xml:space="preserve">Feller, 2025): Delegation, Description, Discernment, Diligence. Its Discernment maps cleanly onto</w:t>
      </w:r>
      <w:r>
        <w:t xml:space="preserve"> </w:t>
      </w:r>
      <w:r>
        <w:t xml:space="preserve">Judging, but its Description bundles two operations we deliberately separate: crafting the initial</w:t>
      </w:r>
      <w:r>
        <w:t xml:space="preserve"> </w:t>
      </w:r>
      <w:r>
        <w:t xml:space="preserve">specification and conducting the iterative back-and-forth. CoReasoning's contention is that these are</w:t>
      </w:r>
      <w:r>
        <w:t xml:space="preserve"> </w:t>
      </w:r>
      <w:r>
        <w:t xml:space="preserve">distinct skills at distinct times, the pre-generation act of Framing and the post-generation act of</w:t>
      </w:r>
      <w:r>
        <w:t xml:space="preserve"> </w:t>
      </w:r>
      <w:r>
        <w:t xml:space="preserve">Steering, with different error modes (a malformed task versus a mis-targeted correction) and different</w:t>
      </w:r>
      <w:r>
        <w:t xml:space="preserve"> </w:t>
      </w:r>
      <w:r>
        <w:t xml:space="preserve">instructional remedies. CoReasoning also derives its skills from learning theory and an assessment</w:t>
      </w:r>
      <w:r>
        <w:t xml:space="preserve"> </w:t>
      </w:r>
      <w:r>
        <w:t xml:space="preserve">rationale rather than from a fluency heuristic, and so yields rubrics and dissociation predictions</w:t>
      </w:r>
      <w:r>
        <w:t xml:space="preserve"> </w:t>
      </w:r>
      <w:r>
        <w:t xml:space="preserve">that a checklist does not.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Metacognitive analyses of generative AI.</w:t>
      </w:r>
      <w:r>
        <w:t xml:space="preserve"> </w:t>
      </w:r>
      <w:r>
        <w:t xml:space="preserve">The strongest construct-level neighbour is Tankelevitch</w:t>
      </w:r>
      <w:r>
        <w:t xml:space="preserve"> </w:t>
      </w:r>
      <w:r>
        <w:t xml:space="preserve">et al. (2024), who analyse generative-AI use through the lens of metacognitive demands, naming</w:t>
      </w:r>
      <w:r>
        <w:t xml:space="preserve"> </w:t>
      </w:r>
      <w:r>
        <w:t xml:space="preserve">prompting, output evaluation, and workflow iteration as sites of metacognitive monitoring and control.</w:t>
      </w:r>
      <w:r>
        <w:t xml:space="preserve"> </w:t>
      </w:r>
      <w:r>
        <w:t xml:space="preserve">We share the metacognitive foundation but differ in goal: their contribution is a demands analysis (a</w:t>
      </w:r>
      <w:r>
        <w:t xml:space="preserve"> </w:t>
      </w:r>
      <w:r>
        <w:t xml:space="preserve">cognitive-load lens that explains why GenAI is hard to use well), whereas ours is an assessable</w:t>
      </w:r>
      <w:r>
        <w:t xml:space="preserve"> </w:t>
      </w:r>
      <w:r>
        <w:t xml:space="preserve">competency model with explicit rubrics, propositions, and feasibility evidence that the components</w:t>
      </w:r>
      <w:r>
        <w:t xml:space="preserve"> </w:t>
      </w:r>
      <w:r>
        <w:t xml:space="preserve">dissociate. The two are complementary: their analysis motivates why each of our skills is cognitively</w:t>
      </w:r>
      <w:r>
        <w:t xml:space="preserve"> </w:t>
      </w:r>
      <w:r>
        <w:t xml:space="preserve">demanding; our framework makes each one measurable.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Prompt-literacy frameworks.</w:t>
      </w:r>
      <w:r>
        <w:t xml:space="preserve"> </w:t>
      </w:r>
      <w:r>
        <w:t xml:space="preserve">Prompt-literacy models such as CLEAR (Lo, 2023) and the broader</w:t>
      </w:r>
      <w:r>
        <w:t xml:space="preserve"> </w:t>
      </w:r>
      <w:r>
        <w:t xml:space="preserve">prompt-literacy literature define competence as constructing a precise prompt and iteratively refining</w:t>
      </w:r>
      <w:r>
        <w:t xml:space="preserve"> </w:t>
      </w:r>
      <w:r>
        <w:t xml:space="preserve">it. The most developed recent decomposition, an operationalization of prompt literacy into formulate,</w:t>
      </w:r>
      <w:r>
        <w:t xml:space="preserve"> </w:t>
      </w:r>
      <w:r>
        <w:t xml:space="preserve">interpret, and refine sub-practices (Tour &amp; Zadorozhnyy, 2025), is the closest competitor to our</w:t>
      </w:r>
      <w:r>
        <w:t xml:space="preserve"> </w:t>
      </w:r>
      <w:r>
        <w:t xml:space="preserve">triad; but it bundles task specification and iterative refinement under "prompting" and does not treat</w:t>
      </w:r>
      <w:r>
        <w:t xml:space="preserve"> </w:t>
      </w:r>
      <w:r>
        <w:t xml:space="preserve">the sub-practices as separately graded, dissociable competencies. This fusion of Framing and Steering</w:t>
      </w:r>
      <w:r>
        <w:t xml:space="preserve"> </w:t>
      </w:r>
      <w:r>
        <w:t xml:space="preserve">into a single "prompting" skill is exactly the conflation CoReasoning rejects. Treating them</w:t>
      </w:r>
      <w:r>
        <w:t xml:space="preserve"> </w:t>
      </w:r>
      <w:r>
        <w:t xml:space="preserve">separately is not a cosmetic relabeling: it predicts, and our feasibility demonstration supports, that</w:t>
      </w:r>
      <w:r>
        <w:t xml:space="preserve"> </w:t>
      </w:r>
      <w:r>
        <w:t xml:space="preserve">a simulated learner's model-assigned Framing and Steering grades can diverge.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Metric frameworks for human-AI cognition.</w:t>
      </w:r>
      <w:r>
        <w:t xml:space="preserve"> </w:t>
      </w:r>
      <w:r>
        <w:t xml:space="preserve">A distinct 2026 line proposes named multi-metric schemes</w:t>
      </w:r>
      <w:r>
        <w:t xml:space="preserve"> </w:t>
      </w:r>
      <w:r>
        <w:t xml:space="preserve">for working with AI, for instance a cognitive-amplification-versus-delegation framework with dependency</w:t>
      </w:r>
      <w:r>
        <w:t xml:space="preserve"> </w:t>
      </w:r>
      <w:r>
        <w:t xml:space="preserve">and drift metrics (Di Santi, 2026). These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 rather than</w:t>
      </w:r>
      <w:r>
        <w:t xml:space="preserve"> </w:t>
      </w:r>
      <w:r>
        <w:t xml:space="preserve">teachable framing, judging, and steering competencies, and so are complementary to, not competitive</w:t>
      </w:r>
      <w:r>
        <w:t xml:space="preserve"> </w:t>
      </w:r>
      <w:r>
        <w:t xml:space="preserve">with, an assessable-skill decomposition.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Knowledge-oriented AI-literacy frameworks.</w:t>
      </w:r>
      <w:r>
        <w:t xml:space="preserve"> </w:t>
      </w:r>
      <w:r>
        <w:t xml:space="preserve">Field-defining competency sets such as Long &amp; Magerko</w:t>
      </w:r>
      <w:r>
        <w:t xml:space="preserve"> </w:t>
      </w:r>
      <w:r>
        <w:t xml:space="preserve">(2020) and the UNESCO (2024) student framework define AI literacy primarily as understanding AI</w:t>
      </w:r>
      <w:r>
        <w:t xml:space="preserve"> </w:t>
      </w:r>
      <w:r>
        <w:t xml:space="preserve">systems, their capabilities, limits, and ethics, rather than as executing tasks within a human-AI</w:t>
      </w:r>
      <w:r>
        <w:t xml:space="preserve"> </w:t>
      </w:r>
      <w:r>
        <w:t xml:space="preserve">loop. They contain no Framing or Steering construct and only a diffuse notion of critical evaluation</w:t>
      </w:r>
      <w:r>
        <w:t xml:space="preserve"> </w:t>
      </w:r>
      <w:r>
        <w:t xml:space="preserve">that partly overlaps Judging. CoReasoning is orthogonal: it specifies the task-execution competencies</w:t>
      </w:r>
      <w:r>
        <w:t xml:space="preserve"> </w:t>
      </w:r>
      <w:r>
        <w:t xml:space="preserve">these frameworks leave implicit.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Empirical accounts of AI-use modes.</w:t>
      </w:r>
      <w:r>
        <w:t xml:space="preserve"> </w:t>
      </w:r>
      <w:r>
        <w:t xml:space="preserve">Field studies describe how skilled users actually work with AI:</w:t>
      </w:r>
      <w:r>
        <w:t xml:space="preserve"> </w:t>
      </w:r>
      <w:r>
        <w:t xml:space="preserve">the "Cyborg" mode of continuous push-back-and-validate (Randazzo et al., 2025) and the sharp</w:t>
      </w:r>
      <w:r>
        <w:t xml:space="preserve"> </w:t>
      </w:r>
      <w:r>
        <w:t xml:space="preserve">skill-dependence of AI's value at the competence frontier (Dell'Acqua et al., 2023). These describe the</w:t>
      </w:r>
      <w:r>
        <w:t xml:space="preserve"> </w:t>
      </w:r>
      <w:r>
        <w:t xml:space="preserve">behaviour; CoReasoning supplies the assessable skill decomposition that underlies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 1 makes the boundary explicit by mapping each nearest prior framework's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 "prompting/iteration" skill.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1. Where prior frameworks place the three CoReasoning skills.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Prior framework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 (pre-generation)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 (post-generation)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4D AI Fluency (Dakan &amp; Feller, 2025)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Delegation + part of 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Discernment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Description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Metacognitive demands (Tankelevitch et al.,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"prompting" (as a demand, not a skill)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"evaluating outputs"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"workflow iteration"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Prompt literacy / CLEAR (Lo, 2023)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"prompting"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weakly present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"iterative refinement"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AI literacy (Long &amp; Magerko, 2020; UNESCO,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absent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diffuse "critical evaluation"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absent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Cyborg/Centaur modes (Randazzo et al., 2025)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"directed" mode (described, not assessed)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"push back / validate"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"continuous dialogue"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Validated GenAI-competency instruments.</w:t>
      </w:r>
      <w:r>
        <w:t xml:space="preserve"> </w:t>
      </w:r>
      <w:r>
        <w:t xml:space="preserve">A parallel line of work builds psychometric instruments</w:t>
      </w:r>
      <w:r>
        <w:t xml:space="preserve"> </w:t>
      </w:r>
      <w:r>
        <w:t xml:space="preserve">for AI and generative-AI competence, including validated scales such as GenAIComp (Lee et al., 2025;</w:t>
      </w:r>
      <w:r>
        <w:t xml:space="preserve"> </w:t>
      </w:r>
      <w:r>
        <w:t xml:space="preserve">with factors derived from digital-competence frameworks) and assessment tests such as GLAT</w:t>
      </w:r>
      <w:r>
        <w:t xml:space="preserve"> </w:t>
      </w:r>
      <w:r>
        <w:t xml:space="preserve">(Jin et al., 2024). These establish that GenAI competence can be measured, but their factor structures</w:t>
      </w:r>
      <w:r>
        <w:t xml:space="preserve"> </w:t>
      </w:r>
      <w:r>
        <w:t xml:space="preserve">are literacy-oriented (information literacy, ethics, content creation) and do not isolate a Framing,</w:t>
      </w:r>
      <w:r>
        <w:t xml:space="preserve"> </w:t>
      </w:r>
      <w:r>
        <w:t xml:space="preserve">Judging, or Steering construct. The work closest to ours pairs AI-collaboration literacy with</w:t>
      </w:r>
      <w:r>
        <w:t xml:space="preserve"> </w:t>
      </w:r>
      <w:r>
        <w:t xml:space="preserve">metacognition (Sidra &amp; Mason, 2025) and includes an AI-evaluation</w:t>
      </w:r>
      <w:r>
        <w:t xml:space="preserve"> </w:t>
      </w:r>
      <w:r>
        <w:t xml:space="preserve">sub-construct that overlaps Judging; we differ in separating the pre-generation and post-generation</w:t>
      </w:r>
      <w:r>
        <w:t xml:space="preserve"> </w:t>
      </w:r>
      <w:r>
        <w:t xml:space="preserve">control skills and in demonstrating their dissociation rather than positing correlated factors.</w:t>
      </w:r>
      <w:r>
        <w:t xml:space="preserve"> </w:t>
      </w:r>
      <w:r>
        <w:t xml:space="preserve">CoReasoning is complementary to this measurement program: it supplies the specific, theory-derived</w:t>
      </w:r>
      <w:r>
        <w:t xml:space="preserve"> </w:t>
      </w:r>
      <w:r>
        <w:t xml:space="preserve">decomposition that a future validated instrument could operationalize.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 prominent strand argues that, as models absorb</w:t>
      </w:r>
      <w:r>
        <w:t xml:space="preserve"> </w:t>
      </w:r>
      <w:r>
        <w:t xml:space="preserve">execution, the durable human skill shifts from prompt crafting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, identifying,</w:t>
      </w:r>
      <w:r>
        <w:t xml:space="preserve"> </w:t>
      </w:r>
      <w:r>
        <w:t xml:space="preserve">analyzing, and delineating the problem worth solving (Acar, 2023). This is precisely our Framing</w:t>
      </w:r>
      <w:r>
        <w:t xml:space="preserve"> </w:t>
      </w:r>
      <w:r>
        <w:t xml:space="preserve">construct, and classroom work has begun to assess it directly, for example through "prompt problems"</w:t>
      </w:r>
      <w:r>
        <w:t xml:space="preserve"> </w:t>
      </w:r>
      <w:r>
        <w:t xml:space="preserve">that require students to specify and evaluate rather than only prompt (Denny et al., 2024), and</w:t>
      </w:r>
      <w:r>
        <w:t xml:space="preserve"> </w:t>
      </w:r>
      <w:r>
        <w:t xml:space="preserve">through instruments that treat question formulation (Kim et al., 2025) and problem decomposition</w:t>
      </w:r>
      <w:r>
        <w:t xml:space="preserve"> </w:t>
      </w:r>
      <w:r>
        <w:t xml:space="preserve">(Srinath et al., 2025) as independently measurable, trainable skills in generative-AI settings. That</w:t>
      </w:r>
      <w:r>
        <w:t xml:space="preserve"> </w:t>
      </w:r>
      <w:r>
        <w:t xml:space="preserve">Framing is a distinct competency is further supported by the older problem-finding literature, which</w:t>
      </w:r>
      <w:r>
        <w:t xml:space="preserve"> </w:t>
      </w:r>
      <w:r>
        <w:t xml:space="preserve">established problem finding as empirically separable from problem solving (Runco &amp; Chand, 1995). We</w:t>
      </w:r>
      <w:r>
        <w:t xml:space="preserve"> </w:t>
      </w:r>
      <w:r>
        <w:t xml:space="preserve">build on this strand by placing Framing in a measured loop with Judging and Steering.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CoReasoning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defensible claim is not that any single skill is new, but that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is</w:t>
      </w:r>
      <w:r>
        <w:t xml:space="preserve"> </w:t>
      </w:r>
      <w:r>
        <w:t xml:space="preserve">both theoretically motivated (monitor-control plus an upstream task definition) and empirically</w:t>
      </w:r>
      <w:r>
        <w:t xml:space="preserve"> </w:t>
      </w:r>
      <w:r>
        <w:t xml:space="preserve">consequential (the skills can be measured apart).</w:t>
      </w:r>
    </w:p>
    <w:bookmarkEnd w:id="24"/>
    <w:bookmarkStart w:id="25" w:name="Xeee0f31b39981a3e100f5aaf50a49be1e1b4285"/>
    <w:p>
      <w:pPr>
        <w:pStyle w:val="Heading2"/>
        <w:keepNext/>
        <w:keepLines/>
        <w:widowControl w:val="1"/>
      </w:pPr>
      <w:r>
        <w:t xml:space="preserve">7. The CoReasoning Lab system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framework is instantiated in</w:t>
      </w:r>
      <w:r>
        <w:t xml:space="preserve"> </w:t>
      </w:r>
      <w:r>
        <w:rPr>
          <w:i/>
          <w:iCs/>
        </w:rPr>
        <w:t xml:space="preserve">CoReasoning Lab</w:t>
      </w:r>
      <w:r>
        <w:t xml:space="preserve">, a runnable open-source web platform, which we</w:t>
      </w:r>
      <w:r>
        <w:t xml:space="preserve"> </w:t>
      </w:r>
      <w:r>
        <w:t xml:space="preserve">describe here so that the abstract skills map onto a concrete learner experience. The platform is a</w:t>
      </w:r>
      <w:r>
        <w:t xml:space="preserve"> </w:t>
      </w:r>
      <w:r>
        <w:t xml:space="preserve">Node/Express application with role-based access (student, instructor, administrator), a challenge</w:t>
      </w:r>
      <w:r>
        <w:t xml:space="preserve"> </w:t>
      </w:r>
      <w:r>
        <w:t xml:space="preserve">database, practice and assessment modes, multiple-choice and open-ended response formats per phase, and</w:t>
      </w:r>
      <w:r>
        <w:t xml:space="preserve"> </w:t>
      </w:r>
      <w:r>
        <w:t xml:space="preserve">a five-language content library (English, Hebrew, German, Spanish, French). Its full source, the web</w:t>
      </w:r>
      <w:r>
        <w:t xml:space="preserve"> </w:t>
      </w:r>
      <w:r>
        <w:t xml:space="preserve">application, the database schema, the content library, and the</w:t>
      </w:r>
      <w:r>
        <w:t xml:space="preserve"> </w:t>
      </w:r>
      <w:r>
        <w:rPr>
          <w:i/>
          <w:iCs/>
        </w:rPr>
        <w:t xml:space="preserve">scoring engine</w:t>
      </w:r>
      <w:r>
        <w:t xml:space="preserve"> </w:t>
      </w:r>
      <w:r>
        <w:t xml:space="preserve">of sixteen prompts</w:t>
      </w:r>
      <w:r>
        <w:t xml:space="preserve"> </w:t>
      </w:r>
      <w:r>
        <w:t xml:space="preserve">(Section 7.1), is released, alongside a pedagogical-foundations document mapping the design to learning</w:t>
      </w:r>
      <w:r>
        <w:t xml:space="preserve"> </w:t>
      </w:r>
      <w:r>
        <w:t xml:space="preserve">theory. Figures A1 and A2 render the platform's interface. All challenges evaluated in this paper are</w:t>
      </w:r>
      <w:r>
        <w:t xml:space="preserve"> </w:t>
      </w:r>
      <w:r>
        <w:t xml:space="preserve">English-language (Section 11), and the quantitative results come from the scoring engine over controlled</w:t>
      </w:r>
      <w:r>
        <w:t xml:space="preserve"> </w:t>
      </w:r>
      <w:r>
        <w:t xml:space="preserve">inputs rather than from production usage logs.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Because challenge generation, rubric generation, and scoring are themselves prompt-defined, the engine</w:t>
      </w:r>
      <w:r>
        <w:t xml:space="preserve"> </w:t>
      </w:r>
      <w:r>
        <w:t xml:space="preserve">extends to a new subject, language, or grader backend by substitution rather than redesign: the</w:t>
      </w:r>
      <w:r>
        <w:t xml:space="preserve"> </w:t>
      </w:r>
      <w:r>
        <w:t xml:space="preserve">feasibility demonstration exercises it unchanged across ten subjects (Section 8) and two grader models,</w:t>
      </w:r>
      <w:r>
        <w:t xml:space="preserve"> </w:t>
      </w:r>
      <w:r>
        <w:t xml:space="preserve">and the released artifact lets others add their own. The monitor-control scaffold is likewise open to</w:t>
      </w:r>
      <w:r>
        <w:t xml:space="preserve"> </w:t>
      </w:r>
      <w:r>
        <w:t xml:space="preserve">additional skills where a setting calls for them; the three are a deliberately small decomposition that</w:t>
      </w:r>
      <w:r>
        <w:t xml:space="preserve"> </w:t>
      </w:r>
      <w:r>
        <w:t xml:space="preserve">separates pre-generation, evaluative, and post-generation control. The released instrument is therefore</w:t>
      </w:r>
      <w:r>
        <w:t xml:space="preserve"> </w:t>
      </w:r>
      <w:r>
        <w:t xml:space="preserve">usable as a starting point for others to extend, not only to reproduce.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7.1).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From a dashboard of assigned challenges (Figure A2), a student enters a</w:t>
      </w:r>
      <w:r>
        <w:t xml:space="preserve"> </w:t>
      </w:r>
      <w:r>
        <w:t xml:space="preserve">challenge run that walks through the framework's two phases (Figure A1):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Phase 1: Framing.</w:t>
      </w:r>
      <w:r>
        <w:t xml:space="preserve"> </w:t>
      </w:r>
      <w:r>
        <w:t xml:space="preserve">The student is shown the raw, ill-defined problem and adds refinement sections</w:t>
      </w:r>
      <w:r>
        <w:t xml:space="preserve"> </w:t>
      </w:r>
      <w:r>
        <w:t xml:space="preserve">(assumptions, constraints, clarifications, success metrics) or selects refinements in</w:t>
      </w:r>
      <w:r>
        <w:t xml:space="preserve"> </w:t>
      </w:r>
      <w:r>
        <w:t xml:space="preserve">multiple-choice mode, then submits. The platform returns rubric-driven Framing feedback and a grade.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AI generation.</w:t>
      </w:r>
      <w:r>
        <w:t xml:space="preserve"> </w:t>
      </w:r>
      <w:r>
        <w:t xml:space="preserve">The system produces a plausible but deliberately flawed solution to the framed task.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Phase 2: Judge/Steer cycles.</w:t>
      </w:r>
      <w:r>
        <w:t xml:space="preserve"> </w:t>
      </w:r>
      <w:r>
        <w:t xml:space="preserve">In each cycle the student first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 current output</w:t>
      </w:r>
      <w:r>
        <w:t xml:space="preserve"> </w:t>
      </w:r>
      <w:r>
        <w:t xml:space="preserve">(flagging issues it contains) and then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commands); the AI</w:t>
      </w:r>
      <w:r>
        <w:t xml:space="preserve"> </w:t>
      </w:r>
      <w:r>
        <w:t xml:space="preserve">returns an updated output. The student repeats this up to a configured maximum number of cycles and</w:t>
      </w:r>
      <w:r>
        <w:t xml:space="preserve"> </w:t>
      </w:r>
      <w:r>
        <w:t xml:space="preserve">marks the task complete when satisfied.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Per-skill feedback and grades.</w:t>
      </w:r>
      <w:r>
        <w:t xml:space="preserve"> </w:t>
      </w:r>
      <w:r>
        <w:t xml:space="preserve">Framing, Judging, and Steering are scored separately, each with its</w:t>
      </w:r>
      <w:r>
        <w:t xml:space="preserve"> </w:t>
      </w:r>
      <w:r>
        <w:t xml:space="preserve">own rubric-driven feedback, and surfaced in a per-challenge report and in longitudinal student</w:t>
      </w:r>
      <w:r>
        <w:t xml:space="preserve"> </w:t>
      </w:r>
      <w:r>
        <w:t xml:space="preserve">analytics (Figure A2) that track the three skills independently over time.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separation in the interface, distinct phases, distinct feedback channels, and distinct grade</w:t>
      </w:r>
      <w:r>
        <w:t xml:space="preserve"> </w:t>
      </w:r>
      <w:r>
        <w:t xml:space="preserve">columns, is the framework's central claim made operational: a learner sees, and is scored on, three</w:t>
      </w:r>
      <w:r>
        <w:t xml:space="preserve"> </w:t>
      </w:r>
      <w:r>
        <w:t xml:space="preserve">different things they did, not one undifferentiated "AI use." The remainder of this section describes</w:t>
      </w:r>
      <w:r>
        <w:t xml:space="preserve"> </w:t>
      </w:r>
      <w:r>
        <w:t xml:space="preserve">the instrument that produces those scores.</w:t>
      </w:r>
    </w:p>
    <w:bookmarkEnd w:id="25"/>
    <w:bookmarkStart w:id="26" w:name="X3d8be0d8bf4ad30b87d3536652355afd0bfa982"/>
    <w:p>
      <w:pPr>
        <w:pStyle w:val="Heading2"/>
        <w:keepNext/>
        <w:keepLines/>
        <w:widowControl w:val="1"/>
      </w:pPr>
      <w:r>
        <w:t xml:space="preserve">7.1 Operationalization: a proof-of-concept instrument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learner's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 "best</w:t>
      </w:r>
      <w:r>
        <w:t xml:space="preserve"> </w:t>
      </w:r>
      <w:r>
        <w:t xml:space="preserve">framing" 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  <w:r>
        <w:t xml:space="preserve"> </w:t>
      </w:r>
      <w:r>
        <w:t xml:space="preserve">This connects the instrument to the instructional literature on learning from errors and erroneous</w:t>
      </w:r>
      <w:r>
        <w:t xml:space="preserve"> </w:t>
      </w:r>
      <w:r>
        <w:t xml:space="preserve">examples, in which studying and correcting flawed solutions improves error detection and conceptual</w:t>
      </w:r>
      <w:r>
        <w:t xml:space="preserve"> </w:t>
      </w:r>
      <w:r>
        <w:t xml:space="preserve">understanding relative to studying only correct ones (Große &amp; Renkl, 2007; Durkin &amp; Rittle-Johnson,</w:t>
      </w:r>
      <w:r>
        <w:t xml:space="preserve"> </w:t>
      </w:r>
      <w:r>
        <w:t xml:space="preserve">2012); CoReasoning generalizes that paradigm from static worked examples to an interactive,</w:t>
      </w:r>
      <w:r>
        <w:t xml:space="preserve"> </w:t>
      </w:r>
      <w:r>
        <w:t xml:space="preserve">learner-driven repair loop over AI output.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learner's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learner's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instrument used in this paper is the scoring engine of the CoReasoning Lab platform, a library</w:t>
      </w:r>
      <w:r>
        <w:t xml:space="preserve"> </w:t>
      </w:r>
      <w:r>
        <w:t xml:space="preserve">of sixteen prompts spanning challenge construction, AI generation, and evaluation. The released library</w:t>
      </w:r>
      <w:r>
        <w:t xml:space="preserve"> </w:t>
      </w:r>
      <w:r>
        <w:t xml:space="preserve">carries the platform's evaluation logic verbatim, the same rubrics, criteria, and system prompts as the</w:t>
      </w:r>
      <w:r>
        <w:t xml:space="preserve"> </w:t>
      </w:r>
      <w:r>
        <w:t xml:space="preserve">deployed application; the only adaptation is that JSON output formatting is supplied by the research</w:t>
      </w:r>
      <w:r>
        <w:t xml:space="preserve"> </w:t>
      </w:r>
      <w:r>
        <w:t xml:space="preserve">harness rather than embedded in each prompt. The surrounding harness (simulated-learner generation, the</w:t>
      </w:r>
      <w:r>
        <w:t xml:space="preserve"> </w:t>
      </w:r>
      <w:r>
        <w:t xml:space="preserve">crossed factorial, and the analysis) is research orchestration around that fixed evaluation logic, not a</w:t>
      </w:r>
      <w:r>
        <w:t xml:space="preserve"> </w:t>
      </w:r>
      <w:r>
        <w:t xml:space="preserve">reimplementation of it, so the measurements characterize the instrument itself. Scoring a single</w:t>
      </w:r>
      <w:r>
        <w:t xml:space="preserve"> </w:t>
      </w:r>
      <w:r>
        <w:t xml:space="preserve">learner exercises the relevant subset, the three skill evaluators and the generic grader, over</w:t>
      </w:r>
      <w:r>
        <w:t xml:space="preserve"> </w:t>
      </w:r>
      <w:r>
        <w:t xml:space="preserve">controlled inputs, so that the measurements are reproducible and the ground truth is known. A</w:t>
      </w:r>
      <w:r>
        <w:t xml:space="preserve"> </w:t>
      </w:r>
      <w:r>
        <w:t xml:space="preserve">scope note: the grader is a language model, so the results below characterize the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</w:t>
      </w:r>
      <w:r>
        <w:t xml:space="preserve"> </w:t>
      </w:r>
      <w:r>
        <w:t xml:space="preserve">of the instrument (whether it separates controlled competence levels and dissociates the skills);</w:t>
      </w:r>
      <w:r>
        <w:t xml:space="preserve"> </w:t>
      </w:r>
      <w:r>
        <w:t xml:space="preserve">agreement with human experts is the separate validity question the prepared study in Section 10</w:t>
      </w:r>
      <w:r>
        <w:t xml:space="preserve"> </w:t>
      </w:r>
      <w:r>
        <w:t xml:space="preserve">addresses.</w:t>
      </w:r>
    </w:p>
    <w:bookmarkEnd w:id="26"/>
    <w:bookmarkStart w:id="33" w:name="X4d8e342cb22c9aa3a4677d1e6b5af262e28c318"/>
    <w:p>
      <w:pPr>
        <w:pStyle w:val="Heading2"/>
        <w:keepNext/>
        <w:keepLines/>
        <w:widowControl w:val="1"/>
      </w:pPr>
      <w:r>
        <w:t xml:space="preserve">8. Feasibility demonstration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The "learners" are simulated personas of controlled per-skill</w:t>
      </w:r>
      <w:r>
        <w:t xml:space="preserve"> </w:t>
      </w:r>
      <w:r>
        <w:t xml:space="preserve">competence, 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</w:t>
      </w:r>
      <w:r>
        <w:t xml:space="preserve"> </w:t>
      </w:r>
      <w:r>
        <w:t xml:space="preserve">model grades its own output. These claims concern the instrument; the agreement study with human expert</w:t>
      </w:r>
      <w:r>
        <w:t xml:space="preserve"> </w:t>
      </w:r>
      <w:r>
        <w:t xml:space="preserve">graders is prepared and is the next stage (Section 10).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ten challenges across ten distinct</w:t>
      </w:r>
      <w:r>
        <w:t xml:space="preserve"> </w:t>
      </w:r>
      <w:r>
        <w:t xml:space="preserve">subjects (algorithms, microeconomics, machine learning, databases, statistics, operating systems,</w:t>
      </w:r>
      <w:r>
        <w:t xml:space="preserve"> </w:t>
      </w:r>
      <w:r>
        <w:t xml:space="preserve">calculus, organic chemistry, linguistics, and corporate finance), for 80 simulated learners. Framing</w:t>
      </w:r>
      <w:r>
        <w:t xml:space="preserve"> </w:t>
      </w:r>
      <w:r>
        <w:t xml:space="preserve">and Steering responses are generated by the competence-conditioned learner model; Judging is operationalized by a competence-conditioned</w:t>
      </w:r>
      <w:r>
        <w:t xml:space="preserve"> </w:t>
      </w:r>
      <w:r>
        <w:t xml:space="preserve">selection over the challenge's ground-truth seeded issues (a strong judge flags all real issues and no</w:t>
      </w:r>
      <w:r>
        <w:t xml:space="preserve"> </w:t>
      </w:r>
      <w:r>
        <w:t xml:space="preserve">false ones; a weak judge flags few real issues and some false ones). These seeded issues and the</w:t>
      </w:r>
      <w:r>
        <w:t xml:space="preserve"> </w:t>
      </w:r>
      <w:r>
        <w:t xml:space="preserve">distractors are themselves machine-generated and not yet human-verified, so Judging's by-construction</w:t>
      </w:r>
      <w:r>
        <w:t xml:space="preserve"> </w:t>
      </w:r>
      <w:r>
        <w:t xml:space="preserve">own-effect is explicitly contingent on that ground truth being correct. Because the manipulation is per skill,</w:t>
      </w:r>
      <w:r>
        <w:t xml:space="preserve"> </w:t>
      </w:r>
      <w:r>
        <w:t xml:space="preserve">the design can separate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skill's competence (discrimination) from</w:t>
      </w:r>
      <w:r>
        <w:t xml:space="preserve"> </w:t>
      </w:r>
      <w:r>
        <w:t xml:space="preserve">whether it 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 skills' competence (dissociation).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skill's grade rises when that skill is</w:t>
      </w:r>
      <w:r>
        <w:t xml:space="preserve"> </w:t>
      </w:r>
      <w:r>
        <w:t xml:space="preserve">set to strong. The judging signal is mechanistically transparent: a strong judge flags all of the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result</w:t>
      </w:r>
      <w:r>
        <w:t xml:space="preserve"> </w:t>
      </w:r>
      <w:r>
        <w:t xml:space="preserve">that carries the claim is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 free-text responses</w:t>
      </w:r>
      <w:r>
        <w:t xml:space="preserve"> </w:t>
      </w:r>
      <w:r>
        <w:t xml:space="preserve">the grader scores without knowing the intended competence: each shows a clear positive own-effect</w:t>
      </w:r>
      <w:r>
        <w:t xml:space="preserve"> </w:t>
      </w:r>
      <w:r>
        <w:t xml:space="preserve">(</w:t>
      </w:r>
      <w:r>
        <w:rPr>
          <w:b/>
          <w:bCs/>
        </w:rPr>
        <w:t xml:space="preserve">+0.62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+0.43</w:t>
      </w:r>
      <w:r>
        <w:t xml:space="preserve">) with near-zero cross-effects, so a simulated learner's two free-text grades</w:t>
      </w:r>
      <w:r>
        <w:t xml:space="preserve"> </w:t>
      </w:r>
      <w:r>
        <w:t xml:space="preserve">move independently. Judging's own-effect (</w:t>
      </w:r>
      <w:r>
        <w:rPr>
          <w:b/>
          <w:bCs/>
        </w:rPr>
        <w:t xml:space="preserve">+2.00</w:t>
      </w:r>
      <w:r>
        <w:t xml:space="preserve">) is large but</w:t>
      </w:r>
      <w:r>
        <w:t xml:space="preserve"> </w:t>
      </w:r>
      <w:r>
        <w:rPr>
          <w:i/>
          <w:iCs/>
        </w:rPr>
        <w:t xml:space="preserve">fixed by construction</w:t>
      </w:r>
      <w:r>
        <w:t xml:space="preserve">: its</w:t>
      </w:r>
      <w:r>
        <w:t xml:space="preserve"> </w:t>
      </w:r>
      <w:r>
        <w:t xml:space="preserve">competence is operationalized by a controlled selection over the challenge's seeded issues, and those</w:t>
      </w:r>
      <w:r>
        <w:t xml:space="preserve"> </w:t>
      </w:r>
      <w:r>
        <w:t xml:space="preserve">seeded issues are themselves machine-generated and not yet human-verified (Section 11). We therefore</w:t>
      </w:r>
      <w:r>
        <w:t xml:space="preserve"> </w:t>
      </w:r>
      <w:r>
        <w:t xml:space="preserve">read Judging's clean diagonal as a controlled check that the grader correctly rewards recall and</w:t>
      </w:r>
      <w:r>
        <w:t xml:space="preserve"> </w:t>
      </w:r>
      <w:r>
        <w:t xml:space="preserve">precision, not as independent evidence that the skills separate. The off-diagonal (cross-skill) effects</w:t>
      </w:r>
      <w:r>
        <w:t xml:space="preserve"> </w:t>
      </w:r>
      <w:r>
        <w:t xml:space="preserve">average +0.01 across the matrix, so each grade responds to its own skill and is essentially flat in the</w:t>
      </w:r>
      <w:r>
        <w:t xml:space="preserve"> </w:t>
      </w:r>
      <w:r>
        <w:t xml:space="preserve">others (Figure 3).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2. Effect on each skill's grade of manipulating each skill's competence (grade Δ, strong − weak; N=80).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grade of ↓ \ manipulated →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Framing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+0.62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Judging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+2.00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+0.00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Steering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−0.12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+0.27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+0.43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(+0.62, CI [+0.46, +0.77]) and Steering (+0.43, CI</w:t>
      </w:r>
      <w:r>
        <w:t xml:space="preserve"> </w:t>
      </w:r>
      <w:r>
        <w:t xml:space="preserve">[+0.20, +0.65]); Judging is deterministic by construction (+2.00). The same separation appears in the</w:t>
      </w:r>
      <w:r>
        <w:t xml:space="preserve"> </w:t>
      </w:r>
      <w:r>
        <w:t xml:space="preserve">inter-skill grade correlations across the 80 learners: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0.82</m:t>
        </m:r>
      </m:oMath>
      <w:r>
        <w:t xml:space="preserve">) and</w:t>
      </w:r>
      <w:r>
        <w:t xml:space="preserve"> </w:t>
      </w:r>
      <w:r>
        <w:t xml:space="preserve">Framing-Steering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0.29</m:t>
        </m:r>
      </m:oMath>
      <w:r>
        <w:t xml:space="preserve">) are both non-significant, while Judging-Steering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</m:t>
        </m:r>
      </m:oMath>
      <w:r>
        <w:t xml:space="preserve">) is positive and significant. The</w:t>
      </w:r>
      <w:r>
        <w:t xml:space="preserve"> </w:t>
      </w:r>
      <w:r>
        <w:rPr>
          <w:b/>
          <w:bCs/>
        </w:rPr>
        <w:t xml:space="preserve">Framing-Judging</w:t>
      </w:r>
      <w:r>
        <w:t xml:space="preserve"> </w:t>
      </w:r>
      <w:r>
        <w:t xml:space="preserve">pair is the decisive</w:t>
      </w:r>
      <w:r>
        <w:t xml:space="preserve"> </w:t>
      </w:r>
      <w:r>
        <w:t xml:space="preserve">demonstration: these two skills are scored by entirely separate mechanisms (free-text framing</w:t>
      </w:r>
      <w:r>
        <w:t xml:space="preserve"> </w:t>
      </w:r>
      <w:r>
        <w:t xml:space="preserve">evaluation versus issue-selection judging) yet their grades are uncorrelated, which a single</w:t>
      </w:r>
      <w:r>
        <w:t xml:space="preserve"> </w:t>
      </w:r>
      <w:r>
        <w:t xml:space="preserve">general-ability account cannot produce. The Judging-Steering correlation behaves exactly as Proposition</w:t>
      </w:r>
      <w:r>
        <w:t xml:space="preserve"> </w:t>
      </w:r>
      <w:r>
        <w:t xml:space="preserve">P2 predicts, the expected ceiling relation in which judging gates steering, and so is consistent with,</w:t>
      </w:r>
      <w:r>
        <w:t xml:space="preserve"> </w:t>
      </w:r>
      <w:r>
        <w:t xml:space="preserve">rather than evidence against, separability. With only three indicators a formal factor model is</w:t>
      </w:r>
      <w:r>
        <w:t xml:space="preserve"> </w:t>
      </w:r>
      <w:r>
        <w:t xml:space="preserve">under-identified, so we rest the separability evidence on the manipulation-based effect matrix and the</w:t>
      </w:r>
      <w:r>
        <w:t xml:space="preserve"> </w:t>
      </w:r>
      <w:r>
        <w:t xml:space="preserve">inter-skill correlations rather than on a confirmatory dimensionality test.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Convergent and discriminant validity (a multitrait-multimethod view).</w:t>
      </w:r>
      <w:r>
        <w:t xml:space="preserve"> </w:t>
      </w:r>
      <w:r>
        <w:t xml:space="preserve">The result so far is a</w:t>
      </w:r>
      <w:r>
        <w:t xml:space="preserve"> </w:t>
      </w:r>
      <w:r>
        <w:rPr>
          <w:i/>
          <w:iCs/>
        </w:rPr>
        <w:t xml:space="preserve">discriminant</w:t>
      </w:r>
      <w:r>
        <w:t xml:space="preserve">-validity finding: three skills (traits) separate. Construct validity also requires the</w:t>
      </w:r>
      <w:r>
        <w:t xml:space="preserve"> </w:t>
      </w:r>
      <w:r>
        <w:t xml:space="preserve">complementary</w:t>
      </w:r>
      <w:r>
        <w:t xml:space="preserve"> </w:t>
      </w:r>
      <w:r>
        <w:rPr>
          <w:i/>
          <w:iCs/>
        </w:rPr>
        <w:t xml:space="preserve">convergent</w:t>
      </w:r>
      <w:r>
        <w:t xml:space="preserve"> </w:t>
      </w:r>
      <w:r>
        <w:t xml:space="preserve">property, that the same skill measured by different methods agrees, and that</w:t>
      </w:r>
      <w:r>
        <w:t xml:space="preserve"> </w:t>
      </w:r>
      <w:r>
        <w:t xml:space="preserve">the instrument reports correlation when the underlying competence really is shared (Campbell &amp; Fiske,</w:t>
      </w:r>
      <w:r>
        <w:t xml:space="preserve"> </w:t>
      </w:r>
      <w:r>
        <w:t xml:space="preserve">1959). Two analyses supply it. First, treating the three grader backends as independent methods, the</w:t>
      </w:r>
      <w:r>
        <w:t xml:space="preserve"> </w:t>
      </w:r>
      <w:r>
        <w:t xml:space="preserve">same skill graded by gpt-4o, gpt-4o-mini, and the independent-vendor llama-3.3-70b agrees at the</w:t>
      </w:r>
      <w:r>
        <w:t xml:space="preserve"> </w:t>
      </w:r>
      <w:r>
        <w:t xml:space="preserve">per-learner level for the two skills with the widest grade range (mean pairwise rank correlation +0.57</w:t>
      </w:r>
      <w:r>
        <w:t xml:space="preserve"> </w:t>
      </w:r>
      <w:r>
        <w:t xml:space="preserve">for Framing and +0.67 for Judging across the 40 shared transcripts), while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skills stay near</w:t>
      </w:r>
      <w:r>
        <w:t xml:space="preserve"> </w:t>
      </w:r>
      <w:r>
        <w:t xml:space="preserve">zero, the convergent-high / discriminant-low pattern a valid measure should show; Steering's narrower</w:t>
      </w:r>
      <w:r>
        <w:t xml:space="preserve"> </w:t>
      </w:r>
      <w:r>
        <w:t xml:space="preserve">range under the P2 ceiling yields a lower cross-method correlation (+0.21), a restriction of variance</w:t>
      </w:r>
      <w:r>
        <w:t xml:space="preserve"> </w:t>
      </w:r>
      <w:r>
        <w:t xml:space="preserve">rather than a separate construct. Laid out as the full multitrait-multimethod matrix, the convergent</w:t>
      </w:r>
      <w:r>
        <w:t xml:space="preserve"> </w:t>
      </w:r>
      <w:r>
        <w:t xml:space="preserve">correlations (same skill across graders, mean +0.49) exceed both the heterotrait-monomethod correlations</w:t>
      </w:r>
      <w:r>
        <w:t xml:space="preserve"> </w:t>
      </w:r>
      <w:r>
        <w:t xml:space="preserve">(different skills within one grader, mean +0.08) and the heterotrait-heteromethod correlations (mean</w:t>
      </w:r>
      <w:r>
        <w:t xml:space="preserve"> </w:t>
      </w:r>
      <w:r>
        <w:t xml:space="preserve">+0.06); no grader shows halo (within-grader cross-skill mean</w:t>
      </w:r>
      <w:r>
        <w:t xml:space="preserve"> </w:t>
      </w:r>
      <m:oMath>
        <m:r>
          <m:rPr>
            <m:sty m:val="p"/>
          </m:rPr>
          <m:t>|</m:t>
        </m:r>
        <m:r>
          <m:t>ρ</m:t>
        </m:r>
        <m:r>
          <m:rPr>
            <m:sty m:val="p"/>
          </m:rPr>
          <m:t>|</m:t>
        </m:r>
      </m:oMath>
      <w:r>
        <w:t xml:space="preserve"> </w:t>
      </w:r>
      <w:r>
        <w:t xml:space="preserve">of 0.13, 0.18, 0.13 for the three</w:t>
      </w:r>
      <w:r>
        <w:t xml:space="preserve"> </w:t>
      </w:r>
      <w:r>
        <w:t xml:space="preserve">backends), so all three Campbell-Fiske criteria hold. Second, the instrument is faithful to the population's dependence</w:t>
      </w:r>
      <w:r>
        <w:t xml:space="preserve"> </w:t>
      </w:r>
      <w:r>
        <w:t xml:space="preserve">structure: on learners whose three competences are set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 </w:t>
      </w:r>
      <w:r>
        <w:t xml:space="preserve">(the full crossed design) the</w:t>
      </w:r>
      <w:r>
        <w:t xml:space="preserve"> </w:t>
      </w:r>
      <w:r>
        <w:t xml:space="preserve">inter-skill grade correlations are near zero (mean</w:t>
      </w:r>
      <w:r>
        <w:t xml:space="preserve"> </w:t>
      </w:r>
      <m:oMath>
        <m:r>
          <m:rPr>
            <m:sty m:val="p"/>
          </m:rPr>
          <m:t>|</m:t>
        </m:r>
        <m:r>
          <m:t>ρ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0.13</m:t>
        </m:r>
      </m:oMath>
      <w:r>
        <w:t xml:space="preserve">;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</w:t>
      </w:r>
      <w:r>
        <w:t xml:space="preserve"> </w:t>
      </w:r>
      <w:r>
        <w:t xml:space="preserve">whereas on the 20 learners whose three competences are all set strong or all set weak (a single shared</w:t>
      </w:r>
      <w:r>
        <w:t xml:space="preserve"> </w:t>
      </w:r>
      <w:r>
        <w:t xml:space="preserve">ability level) the same instrument returns</w:t>
      </w:r>
      <w:r>
        <w:t xml:space="preserve"> </w:t>
      </w:r>
      <w:r>
        <w:rPr>
          <w:i/>
          <w:iCs/>
        </w:rPr>
        <w:t xml:space="preserve">positive</w:t>
      </w:r>
      <w:r>
        <w:t xml:space="preserve"> </w:t>
      </w:r>
      <w:r>
        <w:t xml:space="preserve">correlations (mean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0.41</m:t>
        </m:r>
      </m:oMath>
      <w:r>
        <w:t xml:space="preserve">;</w:t>
      </w:r>
      <w:r>
        <w:t xml:space="preserve"> </w:t>
      </w:r>
      <w:r>
        <w:t xml:space="preserve">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0.52</m:t>
        </m:r>
      </m:oMath>
      <w:r>
        <w:t xml:space="preserve">). The instrument therefore does not</w:t>
      </w:r>
      <w:r>
        <w:t xml:space="preserve"> </w:t>
      </w:r>
      <w:r>
        <w:t xml:space="preserve">manufacture dissociation: it recovers independence when the competences are independent and correlation</w:t>
      </w:r>
      <w:r>
        <w:t xml:space="preserve"> </w:t>
      </w:r>
      <w:r>
        <w:t xml:space="preserve">when they are shared, which is what licenses reading the crossed-design separation as a property of the</w:t>
      </w:r>
      <w:r>
        <w:t xml:space="preserve"> </w:t>
      </w:r>
      <w:r>
        <w:t xml:space="preserve">skills rather than of the scoring (Table 3).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3. Multitrait-multimethod validity.</w:t>
      </w:r>
      <w:r>
        <w:t xml:space="preserve"> </w:t>
      </w:r>
      <w:r>
        <w:t xml:space="preserve">Panel A: convergent agreement of the same skill across</w:t>
      </w:r>
      <w:r>
        <w:t xml:space="preserve"> </w:t>
      </w:r>
      <w:r>
        <w:t xml:space="preserve">the three grader backends (mean pairwise per-learner rank correlation on the 40 shared transcripts).</w:t>
      </w:r>
      <w:r>
        <w:t xml:space="preserve"> </w:t>
      </w:r>
      <w:r>
        <w:t xml:space="preserve">Panel B: inter-skill grade correlation by population, showing the instrument recovers the population's</w:t>
      </w:r>
      <w:r>
        <w:t xml:space="preserve"> </w:t>
      </w:r>
      <w:r>
        <w:t xml:space="preserve">dependence structure (discriminant on the full crossed design, convergent on the n=20 all-strong and</w:t>
      </w:r>
      <w:r>
        <w:t xml:space="preserve"> </w:t>
      </w:r>
      <w:r>
        <w:t xml:space="preserve">all-weak learners whose three competences share one level).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Panel A: cross-grader convergent (</w:t>
            </w:r>
            <m:oMath>
              <m:r>
                <m:t>ρ</m:t>
              </m:r>
            </m:oMath>
            <w:r>
              <w:rPr>
                <w:rFonts w:ascii="Times New Roman" w:hAnsi="Times New Roman"/>
                <w:b/>
                <w:sz w:val="19"/>
              </w:rPr>
              <w:t xml:space="preserve">, 3 backends)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same skill across gpt-4o, gpt-4o-mini, llama-3.3-70b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+0.57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+0.67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+0.21</w:t>
            </w:r>
          </w:p>
        </w:tc>
      </w:tr>
    </w:tbl>
    <w:p/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Panel B: inter-skill</w:t>
            </w:r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m:oMath>
              <m:r>
                <m:t>ρ</m:t>
              </m:r>
            </m:oMath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w:r>
              <w:rPr>
                <w:rFonts w:ascii="Times New Roman" w:hAnsi="Times New Roman"/>
                <w:b/>
                <w:sz w:val="19"/>
              </w:rPr>
              <w:t xml:space="preserve">by population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F-J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F-S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J-S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summary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independent (crossed) competences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−0.12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mean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ρ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= 0.13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shared single-ability level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+0.52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+0.14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+0.56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mean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r>
                <m:t>ρ</m:t>
              </m:r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= +0.41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The own-skill effects are directionally consistent across subjects: broken down by the ten subject</w:t>
      </w:r>
      <w:r>
        <w:t xml:space="preserve"> </w:t>
      </w:r>
      <w:r>
        <w:t xml:space="preserve">areas (eight learners each), Framing and Steering each show a positive own-competence effect in nine of</w:t>
      </w:r>
      <w:r>
        <w:t xml:space="preserve"> </w:t>
      </w:r>
      <w:r>
        <w:t xml:space="preserve">ten subjects, with the two exceptions (Framing in statistics, Steering in microeconomics) reflecting</w:t>
      </w:r>
      <w:r>
        <w:t xml:space="preserve"> </w:t>
      </w:r>
      <w:r>
        <w:t xml:space="preserve">the small per-subject sample rather than a sign reversal; Judging is fixed by construction in every</w:t>
      </w:r>
      <w:r>
        <w:t xml:space="preserve"> </w:t>
      </w:r>
      <w:r>
        <w:t xml:space="preserve">subject. The own-competence effect is therefore not driven by any single domain; the pooled own-effects</w:t>
      </w:r>
      <w:r>
        <w:t xml:space="preserve"> </w:t>
      </w:r>
      <w:r>
        <w:t xml:space="preserve">and their confidence intervals above carry the estimate, and the per-subject pattern shows it holds</w:t>
      </w:r>
      <w:r>
        <w:t xml:space="preserve"> </w:t>
      </w:r>
      <w:r>
        <w:t xml:space="preserve">broadly across the curriculum. The designed-contrast personas make the separation concrete (Figure 4, which plots five</w:t>
      </w:r>
      <w:r>
        <w:t xml:space="preserve"> </w:t>
      </w:r>
      <w:r>
        <w:t xml:space="preserve">profiles). Three are especially telling: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</w:t>
      </w:r>
      <w:r>
        <w:t xml:space="preserve"> </w:t>
      </w:r>
      <w:r>
        <w:t xml:space="preserve">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 to Framing B, Judging C; and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 "AI-use</w:t>
      </w:r>
      <w:r>
        <w:t xml:space="preserve"> </w:t>
      </w:r>
      <w:r>
        <w:t xml:space="preserve">ability" cannot produce these crossed profiles. Converging evidence comes from outside our synthetic</w:t>
      </w:r>
      <w:r>
        <w:t xml:space="preserve"> </w:t>
      </w:r>
      <w:r>
        <w:t xml:space="preserve">setting. In an intervention study, students'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(reformulating queries,</w:t>
      </w:r>
      <w:r>
        <w:t xml:space="preserve"> </w:t>
      </w:r>
      <w:r>
        <w:t xml:space="preserve">checking correctness) predicts effective use, whereas self-rated AI expertise does not (Clerc et al.,</w:t>
      </w:r>
      <w:r>
        <w:t xml:space="preserve"> </w:t>
      </w:r>
      <w:r>
        <w:t xml:space="preserve">2026). The skill of working with AI is thus distinct from a general, self-assessed competence.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4600754" cy="3864633"/>
            <wp:effectExtent b="0" l="0" r="0" t="0"/>
            <wp:docPr descr="Figure 3. Own-competence effects dominate cross-competence effects on every skill's grade." title="" id="28" name="Picture"/>
            <a:graphic>
              <a:graphicData uri="http://schemas.openxmlformats.org/drawingml/2006/picture">
                <pic:pic>
                  <pic:nvPicPr>
                    <pic:cNvPr descr="assets/fig_dissociation_heatmap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3. Effect of manipulating each skill's competence (columns) on each skill's grade (rows). Each</w:t>
      </w:r>
      <w:r>
        <w:rPr>
          <w:i/>
          <w:iCs/>
        </w:rPr>
        <w:t xml:space="preserve"> </w:t>
      </w:r>
      <w:r>
        <w:rPr>
          <w:i/>
          <w:iCs/>
        </w:rPr>
        <w:t xml:space="preserve">cell is the grade change (strong minus weak) on the 3-point scale (A=3, B=2, C=1); warmer cells are</w:t>
      </w:r>
      <w:r>
        <w:rPr>
          <w:i/>
          <w:iCs/>
        </w:rPr>
        <w:t xml:space="preserve"> </w:t>
      </w:r>
      <w:r>
        <w:rPr>
          <w:i/>
          <w:iCs/>
        </w:rPr>
        <w:t xml:space="preserve">larger positive effects. The diagonal (own-skill effect) dominates; off-diagonal (cross-skill) effects</w:t>
      </w:r>
      <w:r>
        <w:rPr>
          <w:i/>
          <w:iCs/>
        </w:rPr>
        <w:t xml:space="preserve"> </w:t>
      </w:r>
      <w:r>
        <w:rPr>
          <w:i/>
          <w:iCs/>
        </w:rPr>
        <w:t xml:space="preserve">are near zero.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302000"/>
            <wp:effectExtent b="0" l="0" r="0" t="0"/>
            <wp:docPr descr="Figure 4. Per-skill grades dissociate by competence profile." title="" id="31" name="Picture"/>
            <a:graphic>
              <a:graphicData uri="http://schemas.openxmlformats.org/drawingml/2006/picture">
                <pic:pic>
                  <pic:nvPicPr>
                    <pic:cNvPr descr="assets/fig_contrast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4. Mean per-skill grade for five competence profiles. Judging reaches A only when judging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strong, regardless of framing or steering; each skill responds to its own competence.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Reliability.</w:t>
      </w:r>
      <w:r>
        <w:t xml:space="preserve"> </w:t>
      </w:r>
      <w:r>
        <w:t xml:space="preserve">To check that the grades are not noise, we hold four learner transcripts fixed and</w:t>
      </w:r>
      <w:r>
        <w:t xml:space="preserve"> </w:t>
      </w:r>
      <w:r>
        <w:t xml:space="preserve">re-run the evaluation-and-grading prompts five times each, an independent sample each time at the</w:t>
      </w:r>
      <w:r>
        <w:t xml:space="preserve"> </w:t>
      </w:r>
      <w:r>
        <w:t xml:space="preserve">production temperatures.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overall: the</w:t>
      </w:r>
      <w:r>
        <w:t xml:space="preserve"> </w:t>
      </w:r>
      <w:r>
        <w:t xml:space="preserve">mean grade-flip rate across repeats is 0.08, with Judging deterministic (0.00, by construction),</w:t>
      </w:r>
      <w:r>
        <w:t xml:space="preserve"> </w:t>
      </w:r>
      <w:r>
        <w:t xml:space="preserve">Framing 0.15, and Steering 0.10, and a mean within-cell grade standard deviation near 0.2 on the</w:t>
      </w:r>
      <w:r>
        <w:t xml:space="preserve"> </w:t>
      </w:r>
      <w:r>
        <w:t xml:space="preserve">three-point scale, indicating that disagreements are occasional one-level boundary jitter rather than</w:t>
      </w:r>
      <w:r>
        <w:t xml:space="preserve"> </w:t>
      </w:r>
      <w:r>
        <w:t xml:space="preserve">unstable scoring. This addresses the documented self-inconsistency of LLM judges, though it measures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(repeatability), not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against humans (Section 10). Because Judging contributes a</w:t>
      </w:r>
      <w:r>
        <w:t xml:space="preserve"> </w:t>
      </w:r>
      <w:r>
        <w:t xml:space="preserve">flip rate of zero by construction, the load-bearing figure is the blind-graded skills, whose flip rate</w:t>
      </w:r>
      <w:r>
        <w:t xml:space="preserve"> </w:t>
      </w:r>
      <w:r>
        <w:t xml:space="preserve">is near 0.12.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Grader-backend robustness (across vendors).</w:t>
      </w:r>
      <w:r>
        <w:t xml:space="preserve"> </w:t>
      </w:r>
      <w:r>
        <w:t xml:space="preserve">The dissociation holds across three grader backends</w:t>
      </w:r>
      <w:r>
        <w:t xml:space="preserve"> </w:t>
      </w:r>
      <w:r>
        <w:t xml:space="preserve">spanning two providers. The primary grades come from gpt-4o; re-grading the identical 40 transcripts</w:t>
      </w:r>
      <w:r>
        <w:t xml:space="preserve"> </w:t>
      </w:r>
      <w:r>
        <w:t xml:space="preserve">(challenges and learner responses held fixed) with gpt-4o-mini reproduces it (diagonal +0.47 versus</w:t>
      </w:r>
      <w:r>
        <w:t xml:space="preserve"> </w:t>
      </w:r>
      <w:r>
        <w:t xml:space="preserve">off-diagonal +0.07), and re-grading the same transcripts with an independent-vendor model,</w:t>
      </w:r>
      <w:r>
        <w:t xml:space="preserve"> </w:t>
      </w:r>
      <w:r>
        <w:t xml:space="preserve">Meta's llama-3.3-70b (the prototype's own engine), reproduces it again with a stronger margin:</w:t>
      </w:r>
      <w:r>
        <w:t xml:space="preserve"> </w:t>
      </w:r>
      <w:r>
        <w:t xml:space="preserve">own-skill effects of +0.80 (Framing), +0.75 (Judging), and +0.40 (Steering) against a mean cross-skill</w:t>
      </w:r>
      <w:r>
        <w:t xml:space="preserve"> </w:t>
      </w:r>
      <w:r>
        <w:t xml:space="preserve">effect of +0.02, a diagonal-to-off-diagonal ratio of 39. Two facts stand out across backends. First,</w:t>
      </w:r>
      <w:r>
        <w:t xml:space="preserve"> </w:t>
      </w:r>
      <w:r>
        <w:t xml:space="preserve">Judging's own-effect is +2.00 only under gpt-4o's strict adherence to the seeded-issue selection; under</w:t>
      </w:r>
      <w:r>
        <w:t xml:space="preserve"> </w:t>
      </w:r>
      <w:r>
        <w:t xml:space="preserve">both gpt-4o-mini and the independent-vendor llama it settles to +0.65 and +0.75, level with Framing</w:t>
      </w:r>
      <w:r>
        <w:t xml:space="preserve"> </w:t>
      </w:r>
      <w:r>
        <w:t xml:space="preserve">(+0.65 and +0.80), so the separation is balanced across all three skills, not propped up by the built-in</w:t>
      </w:r>
      <w:r>
        <w:t xml:space="preserve"> </w:t>
      </w:r>
      <w:r>
        <w:t xml:space="preserve">Judging diagonal. Second, every backend reproduces the designed contrast profiles (a strong-framer /</w:t>
      </w:r>
      <w:r>
        <w:t xml:space="preserve"> </w:t>
      </w:r>
      <w:r>
        <w:t xml:space="preserve">weak-judge learner scores high Framing and low Judging, and the inverse for a weak-framer / strong-judge</w:t>
      </w:r>
      <w:r>
        <w:t xml:space="preserve"> </w:t>
      </w:r>
      <w:r>
        <w:t xml:space="preserve">learner), which a single general-ability account cannot produce. Because the result holds across three</w:t>
      </w:r>
      <w:r>
        <w:t xml:space="preserve"> </w:t>
      </w:r>
      <w:r>
        <w:t xml:space="preserve">independently-versioned models from two vendors (gpt-4o, gpt-4o-mini, and Meta's llama-3.3-70b), it does</w:t>
      </w:r>
      <w:r>
        <w:t xml:space="preserve"> </w:t>
      </w:r>
      <w:r>
        <w:t xml:space="preserve">not hinge on a single model snapshot; the released harness pins the model identifiers so the run</w:t>
      </w:r>
      <w:r>
        <w:t xml:space="preserve"> </w:t>
      </w:r>
      <w:r>
        <w:t xml:space="preserve">reproduces, and the cross-backend agreement is the evidence that it generalizes beyond any one of them.</w:t>
      </w:r>
      <w:r>
        <w:t xml:space="preserve"> </w:t>
      </w:r>
      <w:r>
        <w:t xml:space="preserve">Cross-vendor replication is therefore established, not deferred.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Dependence on ground-truth scaffolding.</w:t>
      </w:r>
      <w:r>
        <w:t xml:space="preserve"> </w:t>
      </w:r>
      <w:r>
        <w:t xml:space="preserve">To probe how much the instrument's discrimination relies on</w:t>
      </w:r>
      <w:r>
        <w:t xml:space="preserve"> </w:t>
      </w:r>
      <w:r>
        <w:t xml:space="preserve">the seeded ground truth (the gold framing supplied to the framing evaluator and the known seeded issues</w:t>
      </w:r>
      <w:r>
        <w:t xml:space="preserve"> </w:t>
      </w:r>
      <w:r>
        <w:t xml:space="preserve">supplied to the judging evaluator) versus the model's own judgment, we re-grade a 40-learner subset</w:t>
      </w:r>
      <w:r>
        <w:t xml:space="preserve"> </w:t>
      </w:r>
      <w:r>
        <w:t xml:space="preserve">(five subjects) with that scaffolding removed, comparing against that subset's own baseline (Framing</w:t>
      </w:r>
      <w:r>
        <w:t xml:space="preserve"> </w:t>
      </w:r>
      <w:r>
        <w:t xml:space="preserve">+0.60, Judging +2.00, Steering +0.50). The effect is sharply skill-specific. Framing discrimination is essentially</w:t>
      </w:r>
      <w:r>
        <w:t xml:space="preserve"> </w:t>
      </w:r>
      <w:r>
        <w:t xml:space="preserve">unaffected (own-effect +0.75 without the gold reference, versus +0.60 with it): the rubric and the</w:t>
      </w:r>
      <w:r>
        <w:t xml:space="preserve"> </w:t>
      </w:r>
      <w:r>
        <w:t xml:space="preserve">model's own judgment carry it. Judging discrimination, by contrast, falls sharply (+2.00 to +0.45):</w:t>
      </w:r>
      <w:r>
        <w:t xml:space="preserve"> </w:t>
      </w:r>
      <w:r>
        <w:t xml:space="preserve">without the known issues the grader has no recall-precision anchor and no longer separates strong from</w:t>
      </w:r>
      <w:r>
        <w:t xml:space="preserve"> </w:t>
      </w:r>
      <w:r>
        <w:t xml:space="preserve">weak judging. Steering falls in between (+0.50 to +0.25). The skills still</w:t>
      </w:r>
      <w:r>
        <w:t xml:space="preserve"> </w:t>
      </w:r>
      <w:r>
        <w:t xml:space="preserve">dissociate (ratio 29), and the result pinpoints what each grade measures: Framing and Steering are</w:t>
      </w:r>
      <w:r>
        <w:t xml:space="preserve"> </w:t>
      </w:r>
      <w:r>
        <w:t xml:space="preserve">scored largely by rubric-guided model judgment, whereas Judging</w:t>
      </w:r>
      <w:r>
        <w:t xml:space="preserve"> </w:t>
      </w:r>
      <w:r>
        <w:rPr>
          <w:i/>
          <w:iCs/>
        </w:rPr>
        <w:t xml:space="preserve">as instrumented here</w:t>
      </w:r>
      <w:r>
        <w:t xml:space="preserve"> </w:t>
      </w:r>
      <w:r>
        <w:t xml:space="preserve">tracks agreement</w:t>
      </w:r>
      <w:r>
        <w:t xml:space="preserve"> </w:t>
      </w:r>
      <w:r>
        <w:t xml:space="preserve">with a known answer key. This both explains Judging's by-construction +2.00 and locates the Judging</w:t>
      </w:r>
      <w:r>
        <w:t xml:space="preserve"> </w:t>
      </w:r>
      <w:r>
        <w:t xml:space="preserve">score precisely: it applies where ground truth is known, and open-ended judging without a key is the</w:t>
      </w:r>
      <w:r>
        <w:t xml:space="preserve"> </w:t>
      </w:r>
      <w:r>
        <w:t xml:space="preserve">distinct instrumentation Section 10 specifies.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Scope.</w:t>
      </w:r>
      <w:r>
        <w:t xml:space="preserve"> </w:t>
      </w:r>
      <w:r>
        <w:t xml:space="preserve">These results establish feasibility. (i) Judging's clean diagonal (+2.00, zero cross-effects)</w:t>
      </w:r>
      <w:r>
        <w:t xml:space="preserve"> </w:t>
      </w:r>
      <w:r>
        <w:t xml:space="preserve">is a controlled check by design: its competence is set by a controlled selection over the seeded</w:t>
      </w:r>
      <w:r>
        <w:t xml:space="preserve"> </w:t>
      </w:r>
      <w:r>
        <w:t xml:space="preserve">issues, so the diagonal confirms that the grader correctly rewards recall and precision, and the</w:t>
      </w:r>
      <w:r>
        <w:t xml:space="preserve"> </w:t>
      </w:r>
      <w:r>
        <w:t xml:space="preserve">independent separation evidence is carried by the free-text, blind-graded skills, Framing and Steering,</w:t>
      </w:r>
      <w:r>
        <w:t xml:space="preserve"> </w:t>
      </w:r>
      <w:r>
        <w:t xml:space="preserve">whose positive own-effects (+0.62, +0.43) with near-zero cross-effects drive the result. (ii) The</w:t>
      </w:r>
      <w:r>
        <w:t xml:space="preserve"> </w:t>
      </w:r>
      <w:r>
        <w:t xml:space="preserve">dissociation replicates across grader backends spanning two providers (the grader-robustness check</w:t>
      </w:r>
      <w:r>
        <w:t xml:space="preserve"> </w:t>
      </w:r>
      <w:r>
        <w:t xml:space="preserve">below); agreement with human experts is the validity step the prepared study in Section 10 supplies.</w:t>
      </w:r>
      <w:r>
        <w:t xml:space="preserve"> </w:t>
      </w:r>
      <w:r>
        <w:t xml:space="preserve">(iii) With three constructs the separability evidence rests on the manipulation-based effect matrix and</w:t>
      </w:r>
      <w:r>
        <w:t xml:space="preserve"> </w:t>
      </w:r>
      <w:r>
        <w:t xml:space="preserve">the inter-skill correlations, the appropriate tests for the design. (iv) Steering's own-effect (+0.43</w:t>
      </w:r>
      <w:r>
        <w:t xml:space="preserve"> </w:t>
      </w:r>
      <w:r>
        <w:t xml:space="preserve">at N=80) is governed by the P2 ceiling by design: steering quality is bounded by the judging that</w:t>
      </w:r>
      <w:r>
        <w:t xml:space="preserve"> </w:t>
      </w:r>
      <w:r>
        <w:t xml:space="preserve">precedes it, so manipulating steering alone has bounded headroom. This is a property of the construct,</w:t>
      </w:r>
      <w:r>
        <w:t xml:space="preserve"> </w:t>
      </w:r>
      <w:r>
        <w:t xml:space="preserve">not of the grader: under a deliberately strict steering rubric (a C for vague or non-prioritized</w:t>
      </w:r>
      <w:r>
        <w:t xml:space="preserve"> </w:t>
      </w:r>
      <w:r>
        <w:t xml:space="preserve">commands) the steering own-effect is unchanged (+0.40 versus +0.50, statistically indistinguishable)</w:t>
      </w:r>
      <w:r>
        <w:t xml:space="preserve"> </w:t>
      </w:r>
      <w:r>
        <w:t xml:space="preserve">and the dissociation persists (ratio 27.5). Human steering data will trace this ceiling directly.</w:t>
      </w:r>
    </w:p>
    <w:bookmarkEnd w:id="33"/>
    <w:bookmarkStart w:id="34" w:name="Xa46466f38120f8ee74cb65c819a5bdd7729dab3"/>
    <w:p>
      <w:pPr>
        <w:pStyle w:val="Heading2"/>
        <w:keepNext/>
        <w:keepLines/>
        <w:widowControl w:val="1"/>
      </w:pPr>
      <w:r>
        <w:t xml:space="preserve">9. Tensions and boundary conditions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mature account must confront four tensions rather than paper over them.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CoReasoning treats the AI as a mediating tool whose purpose is the learner's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 Whether exercising the loop actually reduces the offloading</w:t>
      </w:r>
      <w:r>
        <w:t xml:space="preserve"> </w:t>
      </w:r>
      <w:r>
        <w:t xml:space="preserve">signatures is an empirical question this paper does not test; it is reserved for the efficacy study of</w:t>
      </w:r>
      <w:r>
        <w:t xml:space="preserve"> </w:t>
      </w:r>
      <w:r>
        <w:t xml:space="preserve">Section 10.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framework's applicability at the</w:t>
      </w:r>
      <w:r>
        <w:t xml:space="preserve"> </w:t>
      </w:r>
      <w:r>
        <w:t xml:space="preserve">expert frontier.</w:t>
      </w:r>
    </w:p>
    <w:bookmarkEnd w:id="34"/>
    <w:bookmarkStart w:id="35" w:name="Xba3f6dd9d03393d7b20e910759a94d79249c978"/>
    <w:p>
      <w:pPr>
        <w:pStyle w:val="Heading2"/>
        <w:keepNext/>
        <w:keepLines/>
        <w:widowControl w:val="1"/>
      </w:pPr>
      <w:r>
        <w:t xml:space="preserve">10. A validation and assessment agenda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invites, organized as an</w:t>
      </w:r>
      <w:r>
        <w:t xml:space="preserve"> </w:t>
      </w:r>
      <w:r>
        <w:t xml:space="preserve">argument-based validity case in the sense of Messick (1995) and Kane (2013): the present evidence</w:t>
      </w:r>
      <w:r>
        <w:t xml:space="preserve"> </w:t>
      </w:r>
      <w:r>
        <w:t xml:space="preserve">supports the</w:t>
      </w:r>
      <w:r>
        <w:t xml:space="preserve"> </w:t>
      </w:r>
      <w:r>
        <w:rPr>
          <w:i/>
          <w:iCs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inferences (the instrument scores consistently and the</w:t>
      </w:r>
      <w:r>
        <w:t xml:space="preserve"> </w:t>
      </w:r>
      <w:r>
        <w:t xml:space="preserve">three constructs separate), while the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 </w:t>
      </w:r>
      <w:r>
        <w:t xml:space="preserve">inference (that the scores reflect a human</w:t>
      </w:r>
      <w:r>
        <w:t xml:space="preserve"> </w:t>
      </w:r>
      <w:r>
        <w:t xml:space="preserve">competency that transfers) and the</w:t>
      </w:r>
      <w:r>
        <w:t xml:space="preserve"> </w:t>
      </w:r>
      <w:r>
        <w:rPr>
          <w:i/>
          <w:iCs/>
        </w:rPr>
        <w:t xml:space="preserve">implication</w:t>
      </w:r>
      <w:r>
        <w:t xml:space="preserve"> </w:t>
      </w:r>
      <w:r>
        <w:t xml:space="preserve">inference (that the scores support instructional</w:t>
      </w:r>
      <w:r>
        <w:t xml:space="preserve"> </w:t>
      </w:r>
      <w:r>
        <w:t xml:space="preserve">decisions) remain to be established by the studies below.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First, an instrument-validity study, built and ready to run. Three blind expert raters re-grade a</w:t>
      </w:r>
      <w:r>
        <w:t xml:space="preserve"> </w:t>
      </w:r>
      <w:r>
        <w:t xml:space="preserve">stratified sample of 40 transcripts (covering all eight competence profiles) on the three skills using</w:t>
      </w:r>
      <w:r>
        <w:t xml:space="preserve"> </w:t>
      </w:r>
      <w:r>
        <w:t xml:space="preserve">the per-skill rubrics; inter-rater reliability is reported as ordinal Krippendorff's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(primary,</w:t>
      </w:r>
      <w:r>
        <w:t xml:space="preserve"> </w:t>
      </w:r>
      <w:r>
        <w:t xml:space="preserve">since the grades are ordinal), Fleiss'</w:t>
      </w:r>
      <w:r>
        <w:t xml:space="preserve"> </w:t>
      </w:r>
      <m:oMath>
        <m:r>
          <m:t>κ</m:t>
        </m:r>
      </m:oMath>
      <w:r>
        <w:t xml:space="preserve">, and pairwise Cohen's</w:t>
      </w:r>
      <w:r>
        <w:t xml:space="preserve"> </w:t>
      </w:r>
      <m:oMath>
        <m:r>
          <m:t>κ</m:t>
        </m:r>
      </m:oMath>
      <w:r>
        <w:t xml:space="preserve">, and agreement of the</w:t>
      </w:r>
      <w:r>
        <w:t xml:space="preserve"> </w:t>
      </w:r>
      <w:r>
        <w:t xml:space="preserve">human majority with the automated grade as Cohen's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and ordinal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With all three raters scoring the same 40 items the agreement</w:t>
      </w:r>
      <w:r>
        <w:t xml:space="preserve"> </w:t>
      </w:r>
      <w:r>
        <w:t xml:space="preserve">estimate has a bootstrap half-width on the order of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, enough to place each skill inside or</w:t>
      </w:r>
      <w:r>
        <w:t xml:space="preserve"> </w:t>
      </w:r>
      <w:r>
        <w:t xml:space="preserve">outside that band.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Fleiss'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are validated against humans rather than assumed reliable.</w:t>
      </w:r>
      <w:r>
        <w:t xml:space="preserve"> </w:t>
      </w:r>
      <w:r>
        <w:t xml:space="preserve">The package confronts the recursive calibration threat (who grades the grader) on a second level: because</w:t>
      </w:r>
      <w:r>
        <w:t xml:space="preserve"> </w:t>
      </w:r>
      <w:r>
        <w:t xml:space="preserve">the Judging construct rests on machine-seeded ground-truth issues, a parallel task has the same three</w:t>
      </w:r>
      <w:r>
        <w:t xml:space="preserve"> </w:t>
      </w:r>
      <w:r>
        <w:t xml:space="preserve">raters verify a balanced set of 40 seeded issues (20 real and 20 distractor controls) as genuine flaws,</w:t>
      </w:r>
      <w:r>
        <w:t xml:space="preserve"> </w:t>
      </w:r>
      <w:r>
        <w:t xml:space="preserve">yielding a confirmation rate for the Judging ground truth before its recall/precision signal is trusted.</w:t>
      </w:r>
      <w:r>
        <w:t xml:space="preserve"> </w:t>
      </w:r>
      <w:r>
        <w:t xml:space="preserve">The full package, codebook, per-rater shuffled task files with hidden ground truth, and seed-fixed</w:t>
      </w:r>
      <w:r>
        <w:t xml:space="preserve"> </w:t>
      </w:r>
      <w:r>
        <w:t xml:space="preserve">agreement-scoring scripts, is released and reproducible, so the study runs directly once raters are</w:t>
      </w:r>
      <w:r>
        <w:t xml:space="preserve"> </w:t>
      </w:r>
      <w:r>
        <w:t xml:space="preserve">recruited. Second, a construct-validity</w:t>
      </w:r>
      <w:r>
        <w:t xml:space="preserve"> </w:t>
      </w:r>
      <w:r>
        <w:t xml:space="preserve">study at scale (target of at least 200 real learners) to test Propositions P1 through P4, examining</w:t>
      </w:r>
      <w:r>
        <w:t xml:space="preserve"> </w:t>
      </w:r>
      <w:r>
        <w:t xml:space="preserve">whether Framing, Judging, and Steering dissociate across a learner population and whether the proposed</w:t>
      </w:r>
      <w:r>
        <w:t xml:space="preserve"> </w:t>
      </w:r>
      <w:r>
        <w:t xml:space="preserve">gating relations hold. Third, a grader-robustness study across multiple model backends to separate the framework's</w:t>
      </w:r>
      <w:r>
        <w:t xml:space="preserve"> </w:t>
      </w:r>
      <w:r>
        <w:t xml:space="preserve">signal from any single model's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bookmarkEnd w:id="35"/>
    <w:bookmarkStart w:id="36" w:name="Xd9958a5808c799d638099c5f014583a644a871b"/>
    <w:p>
      <w:pPr>
        <w:pStyle w:val="Heading2"/>
        <w:keepNext/>
        <w:keepLines/>
        <w:widowControl w:val="1"/>
      </w:pPr>
      <w:r>
        <w:t xml:space="preserve">11. Scope and boundary conditions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is a conceptual contribution with a proof-of-concept instrument, and three boundary conditions</w:t>
      </w:r>
      <w:r>
        <w:t xml:space="preserve"> </w:t>
      </w:r>
      <w:r>
        <w:t xml:space="preserve">define where the present evidence applies. The feasibility demonstration uses simulated learners of</w:t>
      </w:r>
      <w:r>
        <w:t xml:space="preserve"> </w:t>
      </w:r>
      <w:r>
        <w:t xml:space="preserve">controlled competence: they establish that the grader carries signal and that the skills separate, and</w:t>
      </w:r>
      <w:r>
        <w:t xml:space="preserve"> </w:t>
      </w:r>
      <w:r>
        <w:t xml:space="preserve">they set up the human-learner studies of Section 10. To keep generation and grading independent,</w:t>
      </w:r>
      <w:r>
        <w:t xml:space="preserve"> </w:t>
      </w:r>
      <w:r>
        <w:t xml:space="preserve">learners are generated by one model (gpt-4o-mini) and graded by another (gpt-4o), and the dissociation</w:t>
      </w:r>
      <w:r>
        <w:t xml:space="preserve"> </w:t>
      </w:r>
      <w:r>
        <w:t xml:space="preserve">replicates across grader backends spanning two providers (Section 8); broadening the grader pool further</w:t>
      </w:r>
      <w:r>
        <w:t xml:space="preserve"> </w:t>
      </w:r>
      <w:r>
        <w:t xml:space="preserve">is part of the validation program. The challenges are English-language, and agreement with human</w:t>
      </w:r>
      <w:r>
        <w:t xml:space="preserve"> </w:t>
      </w:r>
      <w:r>
        <w:t xml:space="preserve">experts is the defined next step (Section 10). Two construct-specific boundaries are worth stating.</w:t>
      </w:r>
      <w:r>
        <w:t xml:space="preserve"> </w:t>
      </w:r>
      <w:r>
        <w:t xml:space="preserve">First, Judging as instrumented here is scored against a seeded answer key, so the Judging score applies</w:t>
      </w:r>
      <w:r>
        <w:t xml:space="preserve"> </w:t>
      </w:r>
      <w:r>
        <w:t xml:space="preserve">to settings with known ground truth; open-ended scoring without a key is a distinct instrumentation</w:t>
      </w:r>
      <w:r>
        <w:t xml:space="preserve"> </w:t>
      </w:r>
      <w:r>
        <w:t xml:space="preserve">that Section 10 specifies. Second, Steering's signal is governed by the P2 ceiling by design (its</w:t>
      </w:r>
      <w:r>
        <w:t xml:space="preserve"> </w:t>
      </w:r>
      <w:r>
        <w:t xml:space="preserve">quality is capped by the judging it follows), a relation that human steering data will trace directly.</w:t>
      </w:r>
      <w:r>
        <w:t xml:space="preserve"> </w:t>
      </w:r>
      <w:r>
        <w:t xml:space="preserve">What the paper establishes is a theoretically-grounded decomposition with stated propositions, a precise</w:t>
      </w:r>
      <w:r>
        <w:t xml:space="preserve"> </w:t>
      </w:r>
      <w:r>
        <w:t xml:space="preserve">novelty boundary, and evidence that the three constructs are separable and automatically scoreable; the</w:t>
      </w:r>
      <w:r>
        <w:t xml:space="preserve"> </w:t>
      </w:r>
      <w:r>
        <w:t xml:space="preserve">efficacy study of learning outcomes is the next stage of the program.</w:t>
      </w:r>
    </w:p>
    <w:bookmarkEnd w:id="36"/>
    <w:bookmarkStart w:id="37" w:name="X5947723a0a79e017d648ec5789efc916be82fa3"/>
    <w:p>
      <w:pPr>
        <w:pStyle w:val="Heading2"/>
        <w:keepNext/>
        <w:keepLines/>
        <w:widowControl w:val="1"/>
      </w:pPr>
      <w:r>
        <w:t xml:space="preserve">12. Conclusion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CoReasoning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Because the decomposition tracks what a person must contribute rather than what today's</w:t>
      </w:r>
      <w:r>
        <w:t xml:space="preserve"> </w:t>
      </w:r>
      <w:r>
        <w:t xml:space="preserve">models cannot yet do, it does not lapse as the models improve: the more capable the system, the more</w:t>
      </w:r>
      <w:r>
        <w:t xml:space="preserve"> </w:t>
      </w:r>
      <w:r>
        <w:t xml:space="preserve">the assessable skill is the framing, judging, and steering of it. We release the model, the instrument,</w:t>
      </w:r>
      <w:r>
        <w:t xml:space="preserve"> </w:t>
      </w:r>
      <w:r>
        <w:t xml:space="preserve">and the validation protocol as a foundation to build on, for the assessment and instruction the moment</w:t>
      </w:r>
      <w:r>
        <w:t xml:space="preserve"> </w:t>
      </w:r>
      <w:r>
        <w:t xml:space="preserve">demands.</w:t>
      </w:r>
    </w:p>
    <w:bookmarkEnd w:id="37"/>
    <w:bookmarkStart w:id="44" w:name="appendix-a-system-walkthrough"/>
    <w:p>
      <w:pPr>
        <w:pStyle w:val="Heading2"/>
        <w:keepNext/>
        <w:keepLines/>
        <w:widowControl w:val="1"/>
      </w:pPr>
      <w:r>
        <w:t xml:space="preserve">Appendix A. System walkthrough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Figure A1 shows a single challenge run in CoReasoning 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framework's central claim that productive AI use is not one skill but three.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37840"/>
            <wp:effectExtent b="0" l="0" r="0" t="0"/>
            <wp:docPr descr="Figure A1. A CoReasoning Lab challenge run." title="" id="39" name="Picture"/>
            <a:graphic>
              <a:graphicData uri="http://schemas.openxmlformats.org/drawingml/2006/picture">
                <pic:pic>
                  <pic:nvPicPr>
                    <pic:cNvPr descr="C:/Users/apart/AppData/Local/Temp/html2doc_svg_5gQ2iV/svg_2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37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A1. The learner experience: Framing (Phase 1), the Judge-Steer cycle (Phase 2),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per-skill report. Each skill is scored and given feedback independently.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platform exposes role-specific interfaces beyond the challenge run (Figure A2). Students see a</w:t>
      </w:r>
      <w:r>
        <w:t xml:space="preserve"> </w:t>
      </w:r>
      <w:r>
        <w:t xml:space="preserve">dashboard of pending challenges and courses and a personal results view that trends Framing, Judging,</w:t>
      </w:r>
      <w:r>
        <w:t xml:space="preserve"> </w:t>
      </w:r>
      <w:r>
        <w:t xml:space="preserve">and Steering separately over time. Instructors author challenges (the system auto-generates the</w:t>
      </w:r>
      <w:r>
        <w:t xml:space="preserve"> </w:t>
      </w:r>
      <w:r>
        <w:t xml:space="preserve">ill-defined problem and the three per-skill rubrics) and read course analytics that break grade</w:t>
      </w:r>
      <w:r>
        <w:t xml:space="preserve"> </w:t>
      </w:r>
      <w:r>
        <w:t xml:space="preserve">distributions down by rubric and by student. In every view the three skills remain distinct columns,</w:t>
      </w:r>
      <w:r>
        <w:t xml:space="preserve"> </w:t>
      </w:r>
      <w:r>
        <w:t xml:space="preserve">which is the design commitment the framework makes visible.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4173165"/>
            <wp:effectExtent b="0" l="0" r="0" t="0"/>
            <wp:docPr descr="Figure A2. CoReasoning Lab role interfaces." title="" id="42" name="Picture"/>
            <a:graphic>
              <a:graphicData uri="http://schemas.openxmlformats.org/drawingml/2006/picture">
                <pic:pic>
                  <pic:nvPicPr>
                    <pic:cNvPr descr="C:/Users/apart/AppData/Local/Temp/html2doc_svg_5gQ2iV/svg_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73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A2. Role interfaces. Top: the student dashboard and the instructor challenge-authoring screen.</w:t>
      </w:r>
      <w:r>
        <w:rPr>
          <w:i/>
          <w:iCs/>
        </w:rPr>
        <w:t xml:space="preserve"> </w:t>
      </w:r>
      <w:r>
        <w:rPr>
          <w:i/>
          <w:iCs/>
        </w:rPr>
        <w:t xml:space="preserve">Bottom: the student trend report (per-skill grades over time) and the instructor course analytics</w:t>
      </w:r>
      <w:r>
        <w:rPr>
          <w:i/>
          <w:iCs/>
        </w:rPr>
        <w:t xml:space="preserve"> </w:t>
      </w:r>
      <w:r>
        <w:rPr>
          <w:i/>
          <w:iCs/>
        </w:rPr>
        <w:t xml:space="preserve">(grade distribution by rubric and per-student results). All views report Framing, Judging, and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independently.</w:t>
      </w:r>
    </w:p>
    <w:bookmarkEnd w:id="44"/>
    <w:bookmarkStart w:id="45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Acar, O. A. (2023). AI Prompt Engineering Isn't the Future.</w:t>
      </w:r>
      <w:r>
        <w:t xml:space="preserve"> </w:t>
      </w:r>
      <w:r>
        <w:rPr>
          <w:i/>
          <w:iCs/>
        </w:rPr>
        <w:t xml:space="preserve">Harvard Business Review, June 6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Anderson, L. W., &amp; Krathwohl, D. R. (2001). A Taxonomy for Learning, Teaching, and Assessing: A Revision of Bloom's Taxonomy of Educational Objectives.</w:t>
      </w:r>
      <w:r>
        <w:t xml:space="preserve"> </w:t>
      </w:r>
      <w:r>
        <w:rPr>
          <w:i/>
          <w:iCs/>
        </w:rPr>
        <w:t xml:space="preserve">Longman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Annapureddy, R., Fornaroli, A., &amp; Gatica-Perez, D. (2024). Generative AI Literacy: Twelve Defining Competencies.</w:t>
      </w:r>
      <w:r>
        <w:t xml:space="preserve"> </w:t>
      </w:r>
      <w:r>
        <w:rPr>
          <w:i/>
          <w:iCs/>
        </w:rPr>
        <w:t xml:space="preserve">Digital Government: Research and Practice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Bansal, G., Wu, T., Zhou, J., Fok, R., Nushi, B., Kamar, E., Ribeiro, M. T., &amp; Weld, D. S. (2021). Does the Whole Exceed Its Parts? The Effect of AI Explanations on Complementary Team Performance.</w:t>
      </w:r>
      <w:r>
        <w:t xml:space="preserve"> </w:t>
      </w:r>
      <w:r>
        <w:rPr>
          <w:i/>
          <w:iCs/>
        </w:rPr>
        <w:t xml:space="preserve">Proceedings of the 2021 CHI Conference on Human Factors in Computing Systems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Barzilai, S., &amp; Chinn, C. A. (2018). On the Goals of Epistemic Education: Promoting Apt Epistemic Performance.</w:t>
      </w:r>
      <w:r>
        <w:t xml:space="preserve"> </w:t>
      </w:r>
      <w:r>
        <w:rPr>
          <w:i/>
          <w:iCs/>
        </w:rPr>
        <w:t xml:space="preserve">Journal of the Learning Sciences</w:t>
      </w:r>
      <w:r>
        <w:t xml:space="preserve">, 27(3), 353–389.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Bjork, E. L., &amp; Bjork, R. A. (2011). Making Things Hard on Yourself, but in a Good Way: Creating Desirable Difficulties to Enhance Learning.</w:t>
      </w:r>
      <w:r>
        <w:t xml:space="preserve"> </w:t>
      </w:r>
      <w:r>
        <w:rPr>
          <w:i/>
          <w:iCs/>
        </w:rPr>
        <w:t xml:space="preserve">Psychology and the Real World</w:t>
      </w:r>
      <w:r>
        <w:t xml:space="preserve">, 56–64.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Buçinca, Z., Malaya, M. B., &amp; Gajos, K. Z. (2021). To Trust or to Think: Cognitive Forcing Functions Can Reduce Overreliance on AI in AI-Assisted Decision-Making.</w:t>
      </w:r>
      <w:r>
        <w:t xml:space="preserve"> </w:t>
      </w:r>
      <w:r>
        <w:rPr>
          <w:i/>
          <w:iCs/>
        </w:rPr>
        <w:t xml:space="preserve">Proceedings of the ACM on Human-Computer Interaction</w:t>
      </w:r>
      <w:r>
        <w:t xml:space="preserve">, 5(CSCW1), 1–21.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Campbell, D. T., &amp; Fiske, D. W. (1959). Convergent and Discriminant Validation by the Multitrait-Multimethod Matrix.</w:t>
      </w:r>
      <w:r>
        <w:t xml:space="preserve"> </w:t>
      </w:r>
      <w:r>
        <w:rPr>
          <w:i/>
          <w:iCs/>
        </w:rPr>
        <w:t xml:space="preserve">Psychological Bulletin</w:t>
      </w:r>
      <w:r>
        <w:t xml:space="preserve">, 56(2), 81–105.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Chi, M. T. H., &amp; Wylie, R. (2014). The ICAP Framework: Linking Cognitive Engagement to Active Learning Outcomes.</w:t>
      </w:r>
      <w:r>
        <w:t xml:space="preserve"> </w:t>
      </w:r>
      <w:r>
        <w:rPr>
          <w:i/>
          <w:iCs/>
        </w:rPr>
        <w:t xml:space="preserve">Educational Psychologist</w:t>
      </w:r>
      <w:r>
        <w:t xml:space="preserve">, 49(4), 219–243.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Clerc, O., Abdelghani, R., Desvaux, C., Poisson, E., Oudeyer, P., &amp; Sauzéon, H. (2026). Teaching Students to Question the Machine: An AI Literacy Intervention Improves Students' Regulation of LLM Use in a Science Task.</w:t>
      </w:r>
      <w:r>
        <w:t xml:space="preserve"> </w:t>
      </w:r>
      <w:r>
        <w:rPr>
          <w:i/>
          <w:iCs/>
        </w:rPr>
        <w:t xml:space="preserve">arXiv preprint arXiv:2604.01955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Collins, A., Brown, J. S., &amp; Newman, S. E. (1989). Cognitive Apprenticeship: Teaching the Crafts of Reading, Writing, and Mathematics.</w:t>
      </w:r>
      <w:r>
        <w:t xml:space="preserve"> </w:t>
      </w:r>
      <w:r>
        <w:rPr>
          <w:i/>
          <w:iCs/>
        </w:rPr>
        <w:t xml:space="preserve">Knowing, Learning, and Instruction: Essays in Honor of Robert Glaser</w:t>
      </w:r>
      <w:r>
        <w:t xml:space="preserve">, 453–494.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Dakan, R., &amp; Feller, J. (2025). Framework for AI Fluency.</w:t>
      </w:r>
      <w:r>
        <w:t xml:space="preserve"> </w:t>
      </w:r>
      <w:r>
        <w:rPr>
          <w:i/>
          <w:iCs/>
        </w:rPr>
        <w:t xml:space="preserve">Anthropic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Dell'Acqua, F., McFowland III, E., Mollick, E., Lifshitz-Assaf, H., Kellogg, K., Rajendran, S., Krayer, L., Candelon, F., &amp; Lakhani, K. R. (2023). Navigating the Jagged Technological Frontier.</w:t>
      </w:r>
      <w:r>
        <w:t xml:space="preserve"> </w:t>
      </w:r>
      <w:r>
        <w:rPr>
          <w:i/>
          <w:iCs/>
        </w:rPr>
        <w:t xml:space="preserve">Harvard Business School Working Paper 24-013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Denny, P., Leinonen, J., Prather, J., Luxton-Reilly, A., Amarouche, T., Becker, B. A., &amp; Reeves, B. N. (2024). Prompt Problems: A New Programming Exercise for the Generative AI Era.</w:t>
      </w:r>
      <w:r>
        <w:t xml:space="preserve"> </w:t>
      </w:r>
      <w:r>
        <w:rPr>
          <w:i/>
          <w:iCs/>
        </w:rPr>
        <w:t xml:space="preserve">Proceedings of the 55th ACM Technical Symposium on Computer Science Education (SIGCSE)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Di Santi, E. (2026). Cognitive Amplification vs Cognitive Delegation in Human-AI Systems: A Metric Framework.</w:t>
      </w:r>
      <w:r>
        <w:t xml:space="preserve"> </w:t>
      </w:r>
      <w:r>
        <w:rPr>
          <w:i/>
          <w:iCs/>
        </w:rPr>
        <w:t xml:space="preserve">arXiv preprint arXiv:2603.18677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Durkin, K., &amp; Rittle-Johnson, B. (2012). The Effectiveness of Using Incorrect Examples to Support Learning about Decimal Magnitude.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22(3), 206–214. https://doi.org/10.1016/j.learninstruc.2011.11.001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Facione, P. A. (1990). Critical Thinking: A Statement of Expert Consensus for Purposes of Educational Assessment and Instruction (The Delphi Report).</w:t>
      </w:r>
      <w:r>
        <w:t xml:space="preserve"> </w:t>
      </w:r>
      <w:r>
        <w:rPr>
          <w:i/>
          <w:iCs/>
        </w:rPr>
        <w:t xml:space="preserve">American Philosophical Association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Fan, Y., Tang, L., Le, H., Shen, K., Tan, S., Zhao, Y., Shen, Y., Li, X., &amp; Gašević, D. (2025). Beware of Metacognitive Laziness: Effects of Generative Artificial Intelligence on Learning Motivation, Processes, and Performance.</w:t>
      </w:r>
      <w:r>
        <w:t xml:space="preserve"> </w:t>
      </w:r>
      <w:r>
        <w:rPr>
          <w:i/>
          <w:iCs/>
        </w:rPr>
        <w:t xml:space="preserve">British Journal of Educational Technology</w:t>
      </w:r>
      <w:r>
        <w:t xml:space="preserve">, 56(2), 489–530. https://doi.org/10.1111/bjet.13544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Feng, Y., Wang, S., Cheng, Z., Wan, Y., &amp; Chen, D. (2025). Are We on the Right Way to Assessing LLM-as-a-Judge?.</w:t>
      </w:r>
      <w:r>
        <w:t xml:space="preserve"> </w:t>
      </w:r>
      <w:r>
        <w:rPr>
          <w:i/>
          <w:iCs/>
        </w:rPr>
        <w:t xml:space="preserve">arXiv preprint arXiv:2512.16041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Fernandes, D., Villa, S., Nicholls, S., Haavisto, O., Buschek, D., Schmidt, A., Kosch, T., Shen, C., &amp; Welsch, R. (2024). Performance and Metacognition Disconnect when Reasoning in Human-AI Interaction.</w:t>
      </w:r>
      <w:r>
        <w:t xml:space="preserve"> </w:t>
      </w:r>
      <w:r>
        <w:rPr>
          <w:i/>
          <w:iCs/>
        </w:rPr>
        <w:t xml:space="preserve">arXiv preprint arXiv:2409.16708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Flavell, J. H. (1979). Metacognition and Cognitive Monitoring: A New Area of Cognitive-Developmental Inquiry.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34(10), 906–911.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Gerlich, M. (2025). AI Tools in Society: Impacts on Cognitive Offloading and the Future of Critical Thinking.</w:t>
      </w:r>
      <w:r>
        <w:t xml:space="preserve"> </w:t>
      </w:r>
      <w:r>
        <w:rPr>
          <w:i/>
          <w:iCs/>
        </w:rPr>
        <w:t xml:space="preserve">Societies</w:t>
      </w:r>
      <w:r>
        <w:t xml:space="preserve">, 15(1), 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Gilson, L. L., &amp; Goldberg, C. B. (2015). Editors' Comment: So, What Is a Conceptual Paper?.</w:t>
      </w:r>
      <w:r>
        <w:t xml:space="preserve"> </w:t>
      </w:r>
      <w:r>
        <w:rPr>
          <w:i/>
          <w:iCs/>
        </w:rPr>
        <w:t xml:space="preserve">Group &amp; Organization Management</w:t>
      </w:r>
      <w:r>
        <w:t xml:space="preserve">, 40(2), 127–130. https://doi.org/10.1177/1059601115576425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Große, C. S., &amp; Renkl, A. (2007). Finding and Fixing Errors in Worked Examples: Can This Foster Learning Outcomes?.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17(6), 612–634. https://doi.org/10.1016/j.learninstruc.2007.09.008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Gu, X., &amp; Ericson, B. J. (2025). AI Literacy in K-12 and Higher Education in the Wake of Generative AI: An Integrative Review.</w:t>
      </w:r>
      <w:r>
        <w:t xml:space="preserve"> </w:t>
      </w:r>
      <w:r>
        <w:rPr>
          <w:i/>
          <w:iCs/>
        </w:rPr>
        <w:t xml:space="preserve">Proceedings of the 2025 ACM Conference on International Computing Education Research (ICER)</w:t>
      </w:r>
      <w:r>
        <w:t xml:space="preserve">, 125–140. https://doi.org/10.1145/3702652.3744217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Hattie, J., &amp; Timperley, H. (2007). The Power of Feedback.</w:t>
      </w:r>
      <w:r>
        <w:t xml:space="preserve"> </w:t>
      </w:r>
      <w:r>
        <w:rPr>
          <w:i/>
          <w:iCs/>
        </w:rPr>
        <w:t xml:space="preserve">Review of Educational Research</w:t>
      </w:r>
      <w:r>
        <w:t xml:space="preserve">, 77(1), 81–112.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Jaakkola, E. (2020). Designing Conceptual Articles: Four Approaches.</w:t>
      </w:r>
      <w:r>
        <w:t xml:space="preserve"> </w:t>
      </w:r>
      <w:r>
        <w:rPr>
          <w:i/>
          <w:iCs/>
        </w:rPr>
        <w:t xml:space="preserve">AMS Review</w:t>
      </w:r>
      <w:r>
        <w:t xml:space="preserve">, 10, 18–26.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Jin, Y., Martinez-Maldonado, R., Gašević, D., &amp; Yan, L. (2024). GLAT: The Generative AI Literacy Assessment Test.</w:t>
      </w:r>
      <w:r>
        <w:t xml:space="preserve"> </w:t>
      </w:r>
      <w:r>
        <w:rPr>
          <w:i/>
          <w:iCs/>
        </w:rPr>
        <w:t xml:space="preserve">arXiv preprint arXiv:2411.00283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Kane, M. T. (2013). Validating the Interpretations and Uses of Test Scores.</w:t>
      </w:r>
      <w:r>
        <w:t xml:space="preserve"> </w:t>
      </w:r>
      <w:r>
        <w:rPr>
          <w:i/>
          <w:iCs/>
        </w:rPr>
        <w:t xml:space="preserve">Journal of Educational Measurement</w:t>
      </w:r>
      <w:r>
        <w:t xml:space="preserve">, 50(1), 1–73. https://doi.org/10.1111/jedm.12000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Kapur, M. (2008). Productive Failure.</w:t>
      </w:r>
      <w:r>
        <w:t xml:space="preserve"> </w:t>
      </w:r>
      <w:r>
        <w:rPr>
          <w:i/>
          <w:iCs/>
        </w:rPr>
        <w:t xml:space="preserve">Cognition and Instruction</w:t>
      </w:r>
      <w:r>
        <w:t xml:space="preserve">, 26(3), 379–424.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Kim, P., Wang, W., &amp; Bonk, C. J. (2025). Generative AI as a Coach to Help Students Enhance Proficiency in Question Formulation.</w:t>
      </w:r>
      <w:r>
        <w:t xml:space="preserve"> </w:t>
      </w:r>
      <w:r>
        <w:rPr>
          <w:i/>
          <w:iCs/>
        </w:rPr>
        <w:t xml:space="preserve">Journal of Educational Computing Research</w:t>
      </w:r>
      <w:r>
        <w:t xml:space="preserve">, 63(3), 565–586. https://doi.org/10.1177/07356331251314222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Kosmyna, N., Hauptmann, E., Yuan, Y. T., Situ, J., Liao, X., Beresnitzky, A. V., Braunstein, I., &amp; Maes, P. (2025). Your Brain on ChatGPT: Accumulation of Cognitive Debt when Using an AI Assistant for Essay Writing Task.</w:t>
      </w:r>
      <w:r>
        <w:t xml:space="preserve"> </w:t>
      </w:r>
      <w:r>
        <w:rPr>
          <w:i/>
          <w:iCs/>
        </w:rPr>
        <w:t xml:space="preserve">arXiv preprint arXiv:2506.08872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J. D., &amp; See, K. A. (2004). Trust in Automation: Designing for Appropriate Reliance.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46(1), 50–80.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S. C., Baby, T., Vongvit, R., Lee, J., Kim, Y., Min, C., &amp; Yoon, S. H. (2025). Development and Validation of a Generative AI Competence Scale.</w:t>
      </w:r>
      <w:r>
        <w:t xml:space="preserve"> </w:t>
      </w:r>
      <w:r>
        <w:rPr>
          <w:i/>
          <w:iCs/>
        </w:rPr>
        <w:t xml:space="preserve">Technology in Society</w:t>
      </w:r>
      <w:r>
        <w:t xml:space="preserve">. https://doi.org/10.1016/j.techsoc.2025.103059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Li, C., Cui, H., &amp; Hagedorn, L. S. (2026). The Cognitive Impact of ChatGPT in Higher Education: A Systematic Review of Critical and Creative Thinking Outcomes.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, 10, 100571. https://doi.org/10.1016/j.caeai.2026.100571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Lo, L. S. (2023). The CLEAR Path: A Framework for Enhancing Information Literacy through Prompt Engineering.</w:t>
      </w:r>
      <w:r>
        <w:t xml:space="preserve"> </w:t>
      </w:r>
      <w:r>
        <w:rPr>
          <w:i/>
          <w:iCs/>
        </w:rPr>
        <w:t xml:space="preserve">The Journal of Academic Librarianship</w:t>
      </w:r>
      <w:r>
        <w:t xml:space="preserve">, 49(4).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Long, D., &amp; Magerko, B. (2020). What Is AI Literacy? Competencies and Design Considerations.</w:t>
      </w:r>
      <w:r>
        <w:t xml:space="preserve"> </w:t>
      </w:r>
      <w:r>
        <w:rPr>
          <w:i/>
          <w:iCs/>
        </w:rPr>
        <w:t xml:space="preserve">Proceedings of the 2020 CHI Conference on Human Factors in Computing Systems</w:t>
      </w:r>
      <w:r>
        <w:t xml:space="preserve">, 1–16.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Messick, S. (1995). Validity of Psychological Assessment: Validation of Inferences from Persons' Responses and Performances as Scientific Inquiry into Score Meaning.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50(9), 741–749. https://doi.org/10.1037/0003-066X.50.9.741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Nazaretsky, T., Gabbay, H., &amp; Käser, T. (2025). Can Students Judge Like Experts? A Large-Scale Study on AI and Human Personalized Formative Feedback.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. https://doi.org/10.1016/j.caeai.2025.100533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Nelson, T. O., &amp; Narens, L. (1990). Metamemory: A Theoretical Framework and New Findings.</w:t>
      </w:r>
      <w:r>
        <w:t xml:space="preserve"> </w:t>
      </w:r>
      <w:r>
        <w:rPr>
          <w:i/>
          <w:iCs/>
        </w:rPr>
        <w:t xml:space="preserve">The Psychology of Learning and Motivation</w:t>
      </w:r>
      <w:r>
        <w:t xml:space="preserve">, 26, 125–173.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Parasuraman, R., &amp; Manzey, D. H. (2010). Complacency and Bias in Human Use of Automation: An Attentional Integration.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52(3), 381–410.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Paul, R., &amp; Elder, L. (2006). The Miniature Guide to Critical Thinking: Concepts and Tools.</w:t>
      </w:r>
      <w:r>
        <w:t xml:space="preserve"> </w:t>
      </w:r>
      <w:r>
        <w:rPr>
          <w:i/>
          <w:iCs/>
        </w:rPr>
        <w:t xml:space="preserve">Foundation for Critical Thinking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Randazzo, B., Lifshitz-Assaf, H., Kellogg, K., Dell'Acqua, F., Mollick, E., Candelon, F., &amp; Lakhani, K. R. (2025). Cyborgs, Centaurs and Self-Automators: Modes of Human-AI Collaboration in Knowledge Work.</w:t>
      </w:r>
      <w:r>
        <w:t xml:space="preserve"> </w:t>
      </w:r>
      <w:r>
        <w:rPr>
          <w:i/>
          <w:iCs/>
        </w:rPr>
        <w:t xml:space="preserve">Harvard Business School Working Paper 26-036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Runco, M. A., &amp; Chand, I. (1995). Cognition and Creativity.</w:t>
      </w:r>
      <w:r>
        <w:t xml:space="preserve"> </w:t>
      </w:r>
      <w:r>
        <w:rPr>
          <w:i/>
          <w:iCs/>
        </w:rPr>
        <w:t xml:space="preserve">Educational Psychology Review</w:t>
      </w:r>
      <w:r>
        <w:t xml:space="preserve">, 7(3), 243–267.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Sadler, D. R. (1989). Formative Assessment and the Design of Instructional Systems.</w:t>
      </w:r>
      <w:r>
        <w:t xml:space="preserve"> </w:t>
      </w:r>
      <w:r>
        <w:rPr>
          <w:i/>
          <w:iCs/>
        </w:rPr>
        <w:t xml:space="preserve">Instructional Science</w:t>
      </w:r>
      <w:r>
        <w:t xml:space="preserve">, 18(2), 119–144.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Salomon, G., Perkins, D. N., &amp; Globerson, T. (1991). Partners in Cognition: Extending Human Intelligence with Intelligent Technologies.</w:t>
      </w:r>
      <w:r>
        <w:t xml:space="preserve"> </w:t>
      </w:r>
      <w:r>
        <w:rPr>
          <w:i/>
          <w:iCs/>
        </w:rPr>
        <w:t xml:space="preserve">Educational Researcher</w:t>
      </w:r>
      <w:r>
        <w:t xml:space="preserve">, 20(3), 2–9.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Sidra, S., &amp; Mason, C. (2025). Generative AI in Human-AI Collaboration: Validation of the Collaborative AI Literacy and Collaborative AI Metacognition Scales.</w:t>
      </w:r>
      <w:r>
        <w:t xml:space="preserve"> </w:t>
      </w:r>
      <w:r>
        <w:rPr>
          <w:i/>
          <w:iCs/>
        </w:rPr>
        <w:t xml:space="preserve">International Journal of Human-Computer Interaction</w:t>
      </w:r>
      <w:r>
        <w:t xml:space="preserve">. https://doi.org/10.1080/10447318.2025.2543997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Sperber, D., Clément, F., Heintz, C., Mascaro, O., Mercier, H., Origgi, G., &amp; Wilson, D. (2010). Epistemic Vigilance.</w:t>
      </w:r>
      <w:r>
        <w:t xml:space="preserve"> </w:t>
      </w:r>
      <w:r>
        <w:rPr>
          <w:i/>
          <w:iCs/>
        </w:rPr>
        <w:t xml:space="preserve">Mind &amp; Language</w:t>
      </w:r>
      <w:r>
        <w:t xml:space="preserve">, 25(4), 359–393.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Srinath, S., Vadaparty, A., Smith IV, D. H., Porter, L., &amp; Zingaro, D. (2025). Assessing Problem Decomposition in CS1 for the GenAI Era.</w:t>
      </w:r>
      <w:r>
        <w:t xml:space="preserve"> </w:t>
      </w:r>
      <w:r>
        <w:rPr>
          <w:i/>
          <w:iCs/>
        </w:rPr>
        <w:t xml:space="preserve">arXiv preprint arXiv:2511.05764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Tankelevitch, L., Kewenig, V., Simkute, A., Scott, A. E., Sarkar, A., Sellen, A., &amp; Rintel, S. (2024). The Metacognitive Demands and Opportunities of Generative AI.</w:t>
      </w:r>
      <w:r>
        <w:t xml:space="preserve"> </w:t>
      </w:r>
      <w:r>
        <w:rPr>
          <w:i/>
          <w:iCs/>
        </w:rPr>
        <w:t xml:space="preserve">Proceedings of the 2024 CHI Conference on Human Factors in Computing Systems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Tour, E., &amp; Zadorozhnyy, A. (2025). Conceptualizing and Operationalizing Prompt Literacy for English Language Learners.</w:t>
      </w:r>
      <w:r>
        <w:t xml:space="preserve"> </w:t>
      </w:r>
      <w:r>
        <w:rPr>
          <w:i/>
          <w:iCs/>
        </w:rPr>
        <w:t xml:space="preserve">Journal of Adolescent &amp; Adult Literacy</w:t>
      </w:r>
      <w:r>
        <w:t xml:space="preserve">. https://doi.org/10.1002/jaal.70020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Vaccaro, M., Almaatouq, A., &amp; Malone, T. (2024). When Combinations of Humans and AI Are Useful: A Systematic Review and Meta-Analysis.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, 8, 2293–2303.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Vygotsky, L. S. (1978). Mind in Society: The Development of Higher Psychological Processes.</w:t>
      </w:r>
      <w:r>
        <w:t xml:space="preserve"> </w:t>
      </w:r>
      <w:r>
        <w:rPr>
          <w:i/>
          <w:iCs/>
        </w:rPr>
        <w:t xml:space="preserve">Harvard University Press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Winne, P. H., &amp; Hadwin, A. F. (1998). Studying as Self-Regulated Learning.</w:t>
      </w:r>
      <w:r>
        <w:t xml:space="preserve"> </w:t>
      </w:r>
      <w:r>
        <w:rPr>
          <w:i/>
          <w:iCs/>
        </w:rPr>
        <w:t xml:space="preserve">Metacognition in Educational Theory and Practice</w:t>
      </w:r>
      <w:r>
        <w:t xml:space="preserve">, 277–304.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Zimmerman, B. J. (2000). Attaining Self-Regulation: A Social Cognitive Perspective.</w:t>
      </w:r>
      <w:r>
        <w:t xml:space="preserve"> </w:t>
      </w:r>
      <w:r>
        <w:rPr>
          <w:i/>
          <w:iCs/>
        </w:rPr>
        <w:t xml:space="preserve">Handbook of Self-Regulation</w:t>
      </w:r>
      <w:r>
        <w:t xml:space="preserve">, 13–39.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UNESCO (2024). AI Competency Framework for Students.</w:t>
      </w:r>
      <w:r>
        <w:t xml:space="preserve"> </w:t>
      </w:r>
      <w:r>
        <w:rPr>
          <w:i/>
          <w:iCs/>
        </w:rPr>
        <w:t xml:space="preserve">UNESCO</w:t>
      </w:r>
      <w:r>
        <w:t xml:space="preserve">.</w:t>
      </w:r>
    </w:p>
    <w:bookmarkEnd w:id="45"/>
    <w:bookmarkEnd w:id="46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16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40" w:before="0" w:line="240" w:lineRule="auto"/>
      <w:ind w:left="0" w:firstLine="0"/>
      <w:jc w:val="both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15" Type="http://schemas.openxmlformats.org/officeDocument/2006/relationships/image" Target="media/rId15.png"/><Relationship Id="rId38" Type="http://schemas.openxmlformats.org/officeDocument/2006/relationships/image" Target="media/rId38.png"/><Relationship Id="rId41" Type="http://schemas.openxmlformats.org/officeDocument/2006/relationships/image" Target="media/rId41.png"/><Relationship Id="rId30" Type="http://schemas.openxmlformats.org/officeDocument/2006/relationships/image" Target="media/rId30.png"/><Relationship Id="rId27" Type="http://schemas.openxmlformats.org/officeDocument/2006/relationships/image" Target="media/rId2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2026-06-02T06:18:02Z</dcterms:created>
  <dcterms:modified xsi:type="dcterms:W3CDTF">2026-06-02T06:18:02Z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