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39.png" ContentType="image/png"/>
  <Override PartName="/word/media/rId36.png" ContentType="image/png"/>
  <Override PartName="/word/media/rId50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Working draft — arXiv preprint. Target: Computers &amp; Education: AI (Position Paper) / AIED Blue Sky / IJAIED.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0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turning a taxonomy into a framework with empirical commitments.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The CoReasoning Lab system, the sixteen-prompt instrument, the controlled-generation</w:t>
      </w:r>
      <w:r>
        <w:t xml:space="preserve"> </w:t>
      </w:r>
      <w:r>
        <w:t xml:space="preserve">harness, the experiment data and figures, and the human-rater study package are open-source under the</w:t>
      </w:r>
      <w:r>
        <w:t xml:space="preserve"> </w:t>
      </w:r>
      <w:r>
        <w:t xml:space="preserve">MIT license at</w:t>
      </w:r>
      <w:r>
        <w:t xml:space="preserve"> </w:t>
      </w:r>
      <w:hyperlink r:id="rId21">
        <w:r>
          <w:rPr>
            <w:rStyle w:val="Hyperlink"/>
          </w:rPr>
          <w:t xml:space="preserve">https://github.com/ApartsinProjects/CoReason</w:t>
        </w:r>
      </w:hyperlink>
      <w:r>
        <w:t xml:space="preserve">.</w:t>
      </w:r>
    </w:p>
    <w:bookmarkEnd w:id="22"/>
    <w:bookmarkStart w:id="23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3"/>
    <w:bookmarkStart w:id="30" w:name="the-coreasoning-framework"/>
    <w:p>
      <w:pPr>
        <w:pStyle w:val="Heading2"/>
      </w:pPr>
      <w:r>
        <w:t xml:space="preserve">3. The CoReasoning framework</w:t>
      </w:r>
    </w:p>
    <w:bookmarkStart w:id="27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5" name="Picture"/>
            <a:graphic>
              <a:graphicData uri="http://schemas.openxmlformats.org/drawingml/2006/picture">
                <pic:pic>
                  <pic:nvPicPr>
                    <pic:cNvPr descr="assets/coreasoning-architecture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7"/>
    <w:bookmarkStart w:id="28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8"/>
    <w:bookmarkStart w:id="29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9"/>
    <w:bookmarkEnd w:id="30"/>
    <w:bookmarkStart w:id="31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in Computers &amp; Education: AI on whether learners can evaluate AI output quality as experts do.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guidance, and its quality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1"/>
    <w:bookmarkStart w:id="32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2"/>
    <w:bookmarkStart w:id="33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(with factors derived</w:t>
      </w:r>
      <w:r>
        <w:t xml:space="preserve"> </w:t>
      </w:r>
      <w:r>
        <w:t xml:space="preserve">from digital-competence frameworks) and assessment tests such as GLAT. These establish that GenAI</w:t>
      </w:r>
      <w:r>
        <w:t xml:space="preserve"> </w:t>
      </w:r>
      <w:r>
        <w:t xml:space="preserve">competence can be measured, but their factor structures are literacy-oriented (information literacy,</w:t>
      </w:r>
      <w:r>
        <w:t xml:space="preserve"> </w:t>
      </w:r>
      <w:r>
        <w:t xml:space="preserve">ethics, content creation) and do not isolate a Framing, Judging, or Steering construct. The work</w:t>
      </w:r>
      <w:r>
        <w:t xml:space="preserve"> </w:t>
      </w:r>
      <w:r>
        <w:t xml:space="preserve">closest to ours pairs AI-collaboration literacy with metacognition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3"/>
    <w:bookmarkStart w:id="34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4"/>
    <w:bookmarkStart w:id="35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5"/>
    <w:bookmarkStart w:id="42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−0.02</w:t>
      </w:r>
      <w:r>
        <w:t xml:space="preserve">, a ratio of roughly</w:t>
      </w:r>
      <w:r>
        <w:t xml:space="preserve"> </w:t>
      </w:r>
      <w:r>
        <w:rPr>
          <w:b/>
          <w:bCs/>
        </w:rPr>
        <w:t xml:space="preserve">60 to 1</w:t>
      </w:r>
      <w:r>
        <w:t xml:space="preserve">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),</w:t>
      </w:r>
      <w:r>
        <w:t xml:space="preserve"> </w:t>
      </w:r>
      <w:r>
        <w:t xml:space="preserve">and the first principal factor accounts for only 42% of the variance, far below the near-100% a single</w:t>
      </w:r>
      <w:r>
        <w:t xml:space="preserve"> </w:t>
      </w:r>
      <w:r>
        <w:t xml:space="preserve">“</w:t>
      </w:r>
      <w:r>
        <w:t xml:space="preserve">AI-use ability</w:t>
      </w:r>
      <w:r>
        <w:t xml:space="preserve">”</w:t>
      </w:r>
      <w:r>
        <w:t xml:space="preserve"> </w:t>
      </w:r>
      <w:r>
        <w:t xml:space="preserve">account would predict.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7" name="Picture"/>
            <a:graphic>
              <a:graphicData uri="http://schemas.openxmlformats.org/drawingml/2006/picture">
                <pic:pic>
                  <pic:nvPicPr>
                    <pic:cNvPr descr="assets/fig_dissociation_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40" name="Picture"/>
            <a:graphic>
              <a:graphicData uri="http://schemas.openxmlformats.org/drawingml/2006/picture">
                <pic:pic>
                  <pic:nvPicPr>
                    <pic:cNvPr descr="assets/fig_contras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2"/>
    <w:bookmarkStart w:id="43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3"/>
    <w:bookmarkStart w:id="44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4"/>
    <w:bookmarkStart w:id="45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5"/>
    <w:bookmarkStart w:id="46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6"/>
    <w:bookmarkStart w:id="53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8" name="Picture"/>
            <a:graphic>
              <a:graphicData uri="http://schemas.openxmlformats.org/drawingml/2006/picture">
                <pic:pic>
                  <pic:nvPicPr>
                    <pic:cNvPr descr="assets/system-mockup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1" name="Picture"/>
            <a:graphic>
              <a:graphicData uri="http://schemas.openxmlformats.org/drawingml/2006/picture">
                <pic:pic>
                  <pic:nvPicPr>
                    <pic:cNvPr descr="assets/interface-galle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[Rendered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(50 entries, validated). See the repository for the BibTeX source.]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50" Target="media/rId50.svg" /><Relationship Type="http://schemas.openxmlformats.org/officeDocument/2006/relationships/image" Id="rId47" Target="media/rId47.svg" /><Relationship Type="http://schemas.openxmlformats.org/officeDocument/2006/relationships/hyperlink" Id="rId21" Target="https://github.com/ApartsinProjects/CoRea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partsinProjects/CoRea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2026-06-01T07:00:49Z</dcterms:created>
  <dcterms:modified xsi:type="dcterms:W3CDTF">2026-06-01T07:00:49Z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