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802fd80df72a8374afe940d19691278ee456611"/>
    <w:p>
      <w:pPr>
        <w:pStyle w:val="Title"/>
        <w:spacing w:before="0" w:after="160"/>
        <w:jc w:val="center"/>
        <w:keepNext/>
        <w:keepLines/>
        <w:widowControl w:val="1"/>
      </w:pPr>
      <w:r>
        <w:t xml:space="preserve">Beyond Prompting: Framing, Judging, and Steering as Assessable Competencies for Reasoning With Generative AI in Higher Education</w:t>
      </w:r>
    </w:p>
    <w:p>
      <w:pPr>
        <w:pStyle w:val="Subtitle"/>
        <w:spacing w:before="0" w:after="40"/>
        <w:jc w:val="center"/>
        <w:keepNext/>
        <w:keepLines/>
        <w:widowControl w:val="1"/>
      </w:pPr>
      <w:r>
        <w:rPr>
          <w:rFonts w:ascii="Georgia" w:hAnsi="Georgia"/>
          <w:b/>
          <w:bCs/>
          <w:i w:val="0"/>
          <w:sz w:val="24"/>
        </w:rPr>
        <w:t xml:space="preserve">Alexander Apartsin</w:t>
      </w:r>
      <w:r>
        <w:rPr>
          <w:rFonts w:ascii="Georgia" w:hAnsi="Georgia"/>
          <w:b/>
          <w:i w:val="0"/>
          <w:sz w:val="24"/>
        </w:rPr>
        <w:t xml:space="preserve">¹ and</w:t>
      </w:r>
      <w:r>
        <w:rPr>
          <w:rFonts w:ascii="Georgia" w:hAnsi="Georgia"/>
          <w:b/>
          <w:i w:val="0"/>
          <w:sz w:val="24"/>
        </w:rPr>
        <w:t xml:space="preserve"> </w:t>
      </w:r>
      <w:r>
        <w:rPr>
          <w:rFonts w:ascii="Georgia" w:hAnsi="Georgia"/>
          <w:b/>
          <w:bCs/>
          <w:i w:val="0"/>
          <w:sz w:val="24"/>
        </w:rPr>
        <w:t xml:space="preserve">Yehudit Aperstein</w:t>
      </w:r>
      <w:r>
        <w:rPr>
          <w:rFonts w:ascii="Georgia" w:hAnsi="Georgia"/>
          <w:b/>
          <w:i w:val="0"/>
          <w:sz w:val="24"/>
        </w:rPr>
        <w:t xml:space="preserve">²</w:t>
      </w:r>
    </w:p>
    <w:p>
      <w:pPr>
        <w:pStyle w:val="Subtitle"/>
        <w:spacing w:before="0" w:after="160"/>
        <w:jc w:val="center"/>
        <w:keepNext w:val="0"/>
        <w:keepLines/>
        <w:widowControl w:val="1"/>
      </w:pPr>
      <w:r>
        <w:rPr>
          <w:rFonts w:ascii="Georgia" w:hAnsi="Georgia"/>
          <w:b w:val="0"/>
          <w:i/>
          <w:sz w:val="20"/>
        </w:rPr>
        <w:t xml:space="preserve">¹ Holon Institute of Technology · ² Afeka College of Engineering</w:t>
      </w:r>
    </w:p>
    <w:p>
      <w:pPr>
        <w:pStyle w:val="Subtitle"/>
        <w:spacing w:before="0" w:after="160"/>
        <w:jc w:val="center"/>
        <w:keepNext w:val="0"/>
        <w:keepLines/>
        <w:widowControl w:val="1"/>
      </w:pPr>
      <w:r>
        <w:rPr>
          <w:rFonts w:ascii="Georgia" w:hAnsi="Georgia"/>
          <w:b w:val="0"/>
          <w:i/>
          <w:iCs/>
          <w:sz w:val="20"/>
        </w:rPr>
        <w:t xml:space="preserve">Corresponding author: Dr. Yehudit Aperstein, Afeka College of Engineering.</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cheap and understanding scarce: a university student can now produce fluent work without doing the thinking a degree is meant to develop. The competency that matters is therefore no longer solving a problem unaided, but working well with a fallible machine, framing an ill-defined task, judging what the model returns, and steering it toward something better. Yet this ability is rarely assessed in its own right, and where it is measured it collapses into a single "prompting" score that cannot say</w:t>
      </w:r>
      <w:r>
        <w:t xml:space="preserve"> </w:t>
      </w:r>
      <w:r>
        <w:rPr>
          <w:i/>
          <w:iCs/>
        </w:rPr>
        <w:t xml:space="preserve">why</w:t>
      </w:r>
      <w:r>
        <w:t xml:space="preserve"> </w:t>
      </w:r>
      <w:r>
        <w:t xml:space="preserve">a student's AI use succeeded or failed. We propose CoRe-3 (Co-Reasoning), a competency model that factors productive AI use into three assessable skills, which we abbreviate FJS: Framing (specifying an ill-defined task before invoking AI), Judging (evaluating the output for errors and unstated assumptions), and Steering (iteratively redirecting the model). Its distinguishing claim is the separation of pre-generation Framing from post-generation Steering, with Judging as the gate between. We ground the three skills in metacognition and self-regulated learning theory, state five testable propositions, and instantiate them in an open web platform that presents deliberately flawed AI output and scores each skill independently. Over simulated learners of controlled competence, generated by one model and graded by another, the three grades dissociate: each tracks its own manipulated skill while staying flat in the others, and they become correlated only when a single ability is shared across all three. This convergent-and-discriminant pattern, the signature of a valid measure, replicates across grader backends from two vendors. The paper contributes a theoretically grounded, higher-education-ready decomposition of productive AI use, a feasibility demonstration that the three skills can be scored automatically, and a released instrument, dataset, and prepared human-rater protocol. Human-rater agreement and learning outcomes are the next steps.</w:t>
      </w:r>
    </w:p>
    <w:bookmarkEnd w:id="9"/>
    <w:p>
      <w:pPr>
        <w:pStyle w:val="Keywords"/>
        <w:jc w:val="both"/>
        <w:keepNext w:val="0"/>
        <w:keepLines w:val="0"/>
        <w:widowControl w:val="1"/>
      </w:pPr>
      <w:r>
        <w:rPr>
          <w:b/>
          <w:bCs/>
        </w:rPr>
        <w:t xml:space="preserve">Keywords:</w:t>
      </w:r>
      <w:r>
        <w:t xml:space="preserve"> </w:t>
      </w:r>
      <w:r>
        <w:t xml:space="preserve">generative AI; AI literacy; competency assessment; metacognition; self-regulated learning; higher education</w:t>
      </w:r>
    </w:p>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tools bringing generative AI into higher education optimize for the wrong variable. They shorten the path from question to</w:t>
      </w:r>
      <w:r>
        <w:t xml:space="preserve"> </w:t>
      </w:r>
      <w:r>
        <w:t xml:space="preserve">answer, when the answer was never the point of a university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w:t>
      </w:r>
    </w:p>
    <w:p>
      <w:pPr>
        <w:pStyle w:val="BodyText"/>
        <w:jc w:val="both"/>
        <w:keepNext w:val="0"/>
        <w:keepLines w:val="0"/>
        <w:widowControl w:val="1"/>
      </w:pPr>
      <w:r>
        <w:t xml:space="preserve">At the same 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This is the very under-judging and</w:t>
      </w:r>
      <w:r>
        <w:t xml:space="preserve"> </w:t>
      </w:r>
      <w:r>
        <w:t xml:space="preserve">under-steering a 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concentrates in the operations a system cannot perform on</w:t>
      </w:r>
      <w:r>
        <w:t xml:space="preserve"> </w:t>
      </w:r>
      <w:r>
        <w:t xml:space="preserve">its own behalf: specifying which problem is worth solving, judging whether a fluent output is right, and</w:t>
      </w:r>
      <w:r>
        <w:t xml:space="preserve"> </w:t>
      </w:r>
      <w:r>
        <w:t xml:space="preserve">redirecting the model when it is not. Field evidence that AI's value is conditional on the user's skill</w:t>
      </w:r>
      <w:r>
        <w:t xml:space="preserve"> </w:t>
      </w:r>
      <w:r>
        <w:t xml:space="preserve">(Dell'Acqua et al., 2023; Vaccaro et al., 2024) implies this conditioning tightens as systems improve,</w:t>
      </w:r>
      <w:r>
        <w:t xml:space="preserve"> </w:t>
      </w:r>
      <w:r>
        <w:t xml:space="preserve">so the durable, assessable skill shifts from executing a task to framing, judging, and steering it</w:t>
      </w:r>
      <w:r>
        <w:t xml:space="preserve"> </w:t>
      </w:r>
      <w:r>
        <w:t xml:space="preserve">(Acar, 2023; Denny et al., 2024; see Figure 1). An assessment that still measures unaided execution</w:t>
      </w:r>
      <w:r>
        <w:t xml:space="preserve"> </w:t>
      </w:r>
      <w:r>
        <w:t xml:space="preserve">therefore measures 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E:/tmp/html2doc_svg_dPV6RM/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each skill carries an explicit theoretical</w:t>
      </w:r>
      <w:r>
        <w:t xml:space="preserve"> </w:t>
      </w:r>
      <w:r>
        <w:t xml:space="preserve">warrant.</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proposing new relationships among the constructs (Gilson &amp; Goldberg, 2015;</w:t>
      </w:r>
      <w:r>
        <w:t xml:space="preserve"> </w:t>
      </w:r>
      <w:r>
        <w:t xml:space="preserve">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delineating what the model contributes beyond each.</w:t>
      </w:r>
    </w:p>
    <w:p>
      <w:pPr>
        <w:pStyle w:val="Compact"/>
        <w:numPr>
          <w:ilvl w:val="0"/>
          <w:numId w:val="1002"/>
        </w:numPr>
        <w:ind w:left="360" w:hanging="259"/>
        <w:jc w:val="both"/>
        <w:keepNext w:val="0"/>
        <w:keepLines w:val="0"/>
        <w:widowControl w:val="1"/>
      </w:pPr>
      <w:r>
        <w:rPr>
          <w:b/>
          <w:bCs/>
        </w:rPr>
        <w:t xml:space="preserve">An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three skills are separately measurable and genuinely distinct.</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9.3).</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university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(conditions, operations, products, evaluations, and standards;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3 architecture." title="" id="16" name="Picture"/>
            <a:graphic>
              <a:graphicData uri="http://schemas.openxmlformats.org/drawingml/2006/picture">
                <pic:pic>
                  <pic:nvPicPr>
                    <pic:cNvPr descr="E:/tmp/html2doc_svg_dPV6RM/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ce6e1ca138cc2fbbca968c6b99114842268beb5"/>
    <w:p>
      <w:pPr>
        <w:pStyle w:val="Heading3"/>
        <w:keepNext/>
        <w:keepLines/>
        <w:widowControl w:val="1"/>
      </w:pPr>
      <w:r>
        <w:t xml:space="preserve">3.2 The temporal-separation claim</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(interactive, constructive, active, passive;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9.3),</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against the nearest priors.</w:t>
      </w:r>
    </w:p>
    <w:p>
      <w:pPr>
        <w:pStyle w:val="BodyText"/>
        <w:jc w:val="both"/>
        <w:keepNext w:val="0"/>
        <w:keepLines w:val="0"/>
        <w:widowControl w:val="1"/>
      </w:pPr>
      <w:r>
        <w:rPr>
          <w:b/>
          <w:bCs/>
        </w:rPr>
        <w:t xml:space="preserve">Fluency, metacognitive, and prompt-literacy frameworks.</w:t>
      </w:r>
      <w:r>
        <w:t xml:space="preserve"> </w:t>
      </w:r>
      <w:r>
        <w:t xml:space="preserve">The 4D model of AI fluency (Dakan &amp;</w:t>
      </w:r>
      <w:r>
        <w:t xml:space="preserve"> </w:t>
      </w:r>
      <w:r>
        <w:t xml:space="preserve">Feller, 2025) maps Discernment onto Judging but bundles the initial specification and the iterative</w:t>
      </w:r>
      <w:r>
        <w:t xml:space="preserve"> </w:t>
      </w:r>
      <w:r>
        <w:t xml:space="preserve">back-and-forth into one "Description," exactly the pre- versus post-generation operations we separate.</w:t>
      </w:r>
      <w:r>
        <w:t xml:space="preserve"> </w:t>
      </w:r>
      <w:r>
        <w:t xml:space="preserve">Tankelevitch et al. (2024) analyse generative-AI use as metacognitive demands (prompting, output</w:t>
      </w:r>
      <w:r>
        <w:t xml:space="preserve"> </w:t>
      </w:r>
      <w:r>
        <w:t xml:space="preserve">evaluation, workflow iteration); we share that foundation but convert a demands analysis into an</w:t>
      </w:r>
      <w:r>
        <w:t xml:space="preserve"> </w:t>
      </w:r>
      <w:r>
        <w:t xml:space="preserve">assessable model with rubrics, propositions, and dissociation evidence. Prompt-literacy models such as</w:t>
      </w:r>
      <w:r>
        <w:t xml:space="preserve"> </w:t>
      </w:r>
      <w:r>
        <w:t xml:space="preserve">CLEAR (Lo, 2023), including the formulate-interpret-refine decomposition of Tour and Zadorozhnyy</w:t>
      </w:r>
      <w:r>
        <w:t xml:space="preserve"> </w:t>
      </w:r>
      <w:r>
        <w:t xml:space="preserve">(2025), likewise fuse task specification and refinement under "prompting" and do not grade the</w:t>
      </w:r>
      <w:r>
        <w:t xml:space="preserve"> </w:t>
      </w:r>
      <w:r>
        <w:t xml:space="preserve">sub-practices as dissociable competencies. This fusion of Framing and Steering is the conflation</w:t>
      </w:r>
      <w:r>
        <w:t xml:space="preserve"> </w:t>
      </w:r>
      <w:r>
        <w:t xml:space="preserve">CoRe-3 rejects, and our feasibility demonstration shows the two grades can diverge.</w:t>
      </w:r>
    </w:p>
    <w:p>
      <w:pPr>
        <w:pStyle w:val="BodyText"/>
        <w:jc w:val="both"/>
        <w:keepNext w:val="0"/>
        <w:keepLines w:val="0"/>
        <w:widowControl w:val="1"/>
      </w:pPr>
      <w:r>
        <w:rPr>
          <w:b/>
          <w:bCs/>
        </w:rPr>
        <w:t xml:space="preserve">Literacy, metric, and mode frameworks.</w:t>
      </w:r>
      <w:r>
        <w:t xml:space="preserve"> </w:t>
      </w:r>
      <w:r>
        <w:t xml:space="preserve">Knowledge-oriented AI-literacy sets (Long &amp; Magerko, 2020;</w:t>
      </w:r>
      <w:r>
        <w:t xml:space="preserve"> </w:t>
      </w:r>
      <w:r>
        <w:t xml:space="preserve">UNESCO, 2024) define literacy as understanding AI systems and contain no Framing or Steering construct,</w:t>
      </w:r>
      <w:r>
        <w:t xml:space="preserve"> </w:t>
      </w:r>
      <w:r>
        <w:t xml:space="preserve">only a diffuse "critical evaluation"; CoRe-3 supplies the task-execution competencies they leave</w:t>
      </w:r>
      <w:r>
        <w:t xml:space="preserve"> </w:t>
      </w:r>
      <w:r>
        <w:t xml:space="preserve">implicit. Metric schemes for human-AI cognition, such as a cognitive-amplification-versus-delegation</w:t>
      </w:r>
      <w:r>
        <w:t xml:space="preserve"> </w:t>
      </w:r>
      <w:r>
        <w:t xml:space="preserve">framework with dependency and drift metrics (Di Santi, 2026), measure the</w:t>
      </w:r>
      <w:r>
        <w:t xml:space="preserve"> </w:t>
      </w:r>
      <w:r>
        <w:rPr>
          <w:i/>
          <w:iCs/>
        </w:rPr>
        <w:t xml:space="preserve">sustainability</w:t>
      </w:r>
      <w:r>
        <w:t xml:space="preserve"> </w:t>
      </w:r>
      <w:r>
        <w:t xml:space="preserve">of reliance</w:t>
      </w:r>
      <w:r>
        <w:t xml:space="preserve"> </w:t>
      </w:r>
      <w:r>
        <w:t xml:space="preserve">rather than teachable skills. Field accounts of how skilled users work, the continuous</w:t>
      </w:r>
      <w:r>
        <w:t xml:space="preserve"> </w:t>
      </w:r>
      <w:r>
        <w:t xml:space="preserve">push-back-and-validate "Cyborg" mode (Randazzo et al., 2025) and the skill-dependence of AI's value at</w:t>
      </w:r>
      <w:r>
        <w:t xml:space="preserve"> </w:t>
      </w:r>
      <w:r>
        <w:t xml:space="preserve">the competence frontier (Dell'Acqua et al., 2023), describe the behaviour that CoRe-3 decomposes into</w:t>
      </w:r>
      <w:r>
        <w:t xml:space="preserve"> </w:t>
      </w:r>
      <w:r>
        <w:t xml:space="preserve">assessable skills.</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instruments and evaluative judgement.</w:t>
      </w:r>
      <w:r>
        <w:t xml:space="preserve"> </w:t>
      </w:r>
      <w:r>
        <w:t xml:space="preserve">Psychometric GenAI-competence scales such as</w:t>
      </w:r>
      <w:r>
        <w:t xml:space="preserve"> </w:t>
      </w:r>
      <w:r>
        <w:t xml:space="preserve">GenAIComp (Lee et al., 2025) and tests such as GLAT (Jin et al., 2024) establish that GenAI competence</w:t>
      </w:r>
      <w:r>
        <w:t xml:space="preserve"> </w:t>
      </w:r>
      <w:r>
        <w:t xml:space="preserve">is measurable, but their factor structures are literacy-oriented and isolate no Framing, Judging, or</w:t>
      </w:r>
      <w:r>
        <w:t xml:space="preserve"> </w:t>
      </w:r>
      <w:r>
        <w:t xml:space="preserve">Steering construct; the work closest to ours pairs AI-collaboration literacy with metacognition</w:t>
      </w:r>
      <w:r>
        <w:t xml:space="preserve"> </w:t>
      </w:r>
      <w:r>
        <w:t xml:space="preserve">(Sidra &amp; Mason, 2025) yet posits correlated factors rather than demonstrating dissociation. Because</w:t>
      </w:r>
      <w:r>
        <w:t xml:space="preserve"> </w:t>
      </w:r>
      <w:r>
        <w:t xml:space="preserve">rubric-based LLM grading can agree highly with humans yet diverge on subjective criteria</w:t>
      </w:r>
      <w:r>
        <w:t xml:space="preserve"> </w:t>
      </w:r>
      <w:r>
        <w:t xml:space="preserve">(Yavuz et al., 2025), our multitrait-multimethod design across three grader backends (Section 8) treats</w:t>
      </w:r>
      <w:r>
        <w:t xml:space="preserve"> </w:t>
      </w:r>
      <w:r>
        <w:t xml:space="preserve">grader-method variance as a measured term. Our Judging skill operationalizes the evaluative judgement</w:t>
      </w:r>
      <w:r>
        <w:t xml:space="preserve"> </w:t>
      </w:r>
      <w:r>
        <w:t xml:space="preserve">argued to be the core human capability for the AI era (Bearman et al., 2024; Walton et al., 2025):</w:t>
      </w:r>
      <w:r>
        <w:t xml:space="preserve"> </w:t>
      </w:r>
      <w:r>
        <w:t xml:space="preserve">critical evaluation is the highest-load activity in AI-assisted writing (Yao &amp; Fan, 2025) and users</w:t>
      </w:r>
      <w:r>
        <w:t xml:space="preserve"> </w:t>
      </w:r>
      <w:r>
        <w:t xml:space="preserve">default to uncritical acceptance without intervention (Wingerter et al., 2025), which is why we treat</w:t>
      </w:r>
      <w:r>
        <w:t xml:space="preserve"> </w:t>
      </w:r>
      <w:r>
        <w:t xml:space="preserve">it as one of three separable skills rather than one overarching disposition. Among named frameworks,</w:t>
      </w:r>
      <w:r>
        <w:t xml:space="preserve"> </w:t>
      </w:r>
      <w:r>
        <w:t xml:space="preserve">the eight-dimension AI Quotient (Ganuthula &amp; Balaraman, 2025) leaves prompt-engineering fused, whereas</w:t>
      </w:r>
      <w:r>
        <w:t xml:space="preserve"> </w:t>
      </w:r>
      <w:r>
        <w:t xml:space="preserve">CoRe-3 splits it into pre-generation Framing and post-generation Steering; assessment-mode partitions of</w:t>
      </w:r>
      <w:r>
        <w:t xml:space="preserve"> </w:t>
      </w:r>
      <w:r>
        <w:t xml:space="preserve">coursework (Elshall &amp; Badir, 2025) are orthogonal and complementary.</w:t>
      </w:r>
    </w:p>
    <w:p>
      <w:pPr>
        <w:pStyle w:val="BodyText"/>
        <w:jc w:val="both"/>
        <w:keepNext w:val="0"/>
        <w:keepLines w:val="0"/>
        <w:widowControl w:val="1"/>
      </w:pPr>
      <w:r>
        <w:rPr>
          <w:b/>
          <w:bCs/>
        </w:rPr>
        <w:t xml:space="preserve">Problem formulation as the AI-era skill.</w:t>
      </w:r>
      <w:r>
        <w:t xml:space="preserve"> </w:t>
      </w:r>
      <w:r>
        <w:t xml:space="preserve">As models absorb execution, a prominent strand argues the</w:t>
      </w:r>
      <w:r>
        <w:t xml:space="preserve"> </w:t>
      </w:r>
      <w:r>
        <w:t xml:space="preserve">durable human skill shifts to</w:t>
      </w:r>
      <w:r>
        <w:t xml:space="preserve"> </w:t>
      </w:r>
      <w:r>
        <w:rPr>
          <w:i/>
          <w:iCs/>
        </w:rPr>
        <w:t xml:space="preserve">problem formulation</w:t>
      </w:r>
      <w:r>
        <w:t xml:space="preserve"> </w:t>
      </w:r>
      <w:r>
        <w:t xml:space="preserve">(Acar, 2023), precisely our Framing construct;</w:t>
      </w:r>
      <w:r>
        <w:t xml:space="preserve"> </w:t>
      </w:r>
      <w:r>
        <w:t xml:space="preserve">classroom work assesses it through prompt problems (Denny et al., 2024), question formulation</w:t>
      </w:r>
      <w:r>
        <w:t xml:space="preserve"> </w:t>
      </w:r>
      <w:r>
        <w:t xml:space="preserve">(Kim et al., 2025), and problem decomposition (Srinath et al., 2025), and the older problem-finding</w:t>
      </w:r>
      <w:r>
        <w:t xml:space="preserve"> </w:t>
      </w:r>
      <w:r>
        <w:t xml:space="preserve">literature established it as separable from problem solving (Runco &amp; Chand, 1995). We build on this</w:t>
      </w:r>
      <w:r>
        <w:t xml:space="preserve"> </w:t>
      </w:r>
      <w:r>
        <w:t xml:space="preserve">strand by placing Framing in a measured loop with Judging and Steering.</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contribution is the</w:t>
      </w:r>
      <w:r>
        <w:t xml:space="preserve"> </w:t>
      </w:r>
      <w:r>
        <w:rPr>
          <w:i/>
          <w:iCs/>
        </w:rPr>
        <w:t xml:space="preserve">separation</w:t>
      </w:r>
      <w:r>
        <w:t xml:space="preserve"> </w:t>
      </w:r>
      <w:r>
        <w:t xml:space="preserve">itself, which is both theoretically motivated</w:t>
      </w:r>
      <w:r>
        <w:t xml:space="preserve"> </w:t>
      </w:r>
      <w:r>
        <w:t xml:space="preserve">(monitor-control plus an upstream task definition) and empirically consequential (the skills can be</w:t>
      </w:r>
      <w:r>
        <w:t xml:space="preserve"> </w:t>
      </w:r>
      <w:r>
        <w:t xml:space="preserve">measured apart).</w:t>
      </w:r>
    </w:p>
    <w:bookmarkEnd w:id="24"/>
    <w:bookmarkStart w:id="26" w:name="Xb469208b37f38982902a67bd55b39b9d5195787"/>
    <w:p>
      <w:pPr>
        <w:pStyle w:val="Heading2"/>
        <w:keepNext/>
        <w:keepLines/>
        <w:widowControl w:val="1"/>
      </w:pPr>
      <w:r>
        <w:t xml:space="preserve">7. The CoReasoningLab system</w:t>
      </w:r>
    </w:p>
    <w:p>
      <w:pPr>
        <w:pStyle w:val="FirstParagraph"/>
        <w:jc w:val="both"/>
        <w:keepNext w:val="0"/>
        <w:keepLines w:val="0"/>
        <w:widowControl w:val="1"/>
      </w:pPr>
      <w:r>
        <w:t xml:space="preserve">The framework is instantiated in</w:t>
      </w:r>
      <w:r>
        <w:t xml:space="preserve"> </w:t>
      </w:r>
      <w:r>
        <w:rPr>
          <w:i/>
          <w:iCs/>
        </w:rPr>
        <w:t xml:space="preserve">CoReasoningLab</w:t>
      </w:r>
      <w:r>
        <w:t xml:space="preserve">, a runnable open-source web platform that maps the</w:t>
      </w:r>
      <w:r>
        <w:t xml:space="preserve"> </w:t>
      </w:r>
      <w:r>
        <w:t xml:space="preserve">abstract skills onto a concrete learner experience. It is a Node/Express application with role-based</w:t>
      </w:r>
      <w:r>
        <w:t xml:space="preserve"> </w:t>
      </w:r>
      <w:r>
        <w:t xml:space="preserve">access (student, instructor, administrator), a challenge database, practice and assessment modes,</w:t>
      </w:r>
      <w:r>
        <w:t xml:space="preserve"> </w:t>
      </w:r>
      <w:r>
        <w:t xml:space="preserve">multiple-choice and open-ended response formats, and a five-language content library (English, Hebrew,</w:t>
      </w:r>
      <w:r>
        <w:t xml:space="preserve"> </w:t>
      </w:r>
      <w:r>
        <w:t xml:space="preserve">German, Spanish, French). Its full source, the web application, the database schema, the content</w:t>
      </w:r>
      <w:r>
        <w:t xml:space="preserve"> </w:t>
      </w:r>
      <w:r>
        <w:t xml:space="preserve">library, and the</w:t>
      </w:r>
      <w:r>
        <w:t xml:space="preserve"> </w:t>
      </w:r>
      <w:r>
        <w:rPr>
          <w:i/>
          <w:iCs/>
        </w:rPr>
        <w:t xml:space="preserve">scoring engine</w:t>
      </w:r>
      <w:r>
        <w:t xml:space="preserve"> </w:t>
      </w:r>
      <w:r>
        <w:t xml:space="preserve">of 16 prompts (Section 7.1), is released, alongside a</w:t>
      </w:r>
      <w:r>
        <w:t xml:space="preserve"> </w:t>
      </w:r>
      <w:r>
        <w:t xml:space="preserve">pedagogical-foundations document; the Supplementary Material walks through the running system. All</w:t>
      </w:r>
      <w:r>
        <w:t xml:space="preserve"> </w:t>
      </w:r>
      <w:r>
        <w:t xml:space="preserve">challenges evaluated here are English-language (Section 9.2), and the quantitative results come from the</w:t>
      </w:r>
      <w:r>
        <w:t xml:space="preserve"> </w:t>
      </w:r>
      <w:r>
        <w:t xml:space="preserve">scoring engine over controlled inputs, not production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and the</w:t>
      </w:r>
      <w:r>
        <w:t xml:space="preserve"> </w:t>
      </w:r>
      <w:r>
        <w:t xml:space="preserve">released artifact lets others add their own. The platform is therefore</w:t>
      </w:r>
      <w:r>
        <w:t xml:space="preserve"> </w:t>
      </w:r>
      <w:r>
        <w:rPr>
          <w:b/>
          <w:bCs/>
        </w:rPr>
        <w:t xml:space="preserve">domain-general</w:t>
      </w:r>
      <w:r>
        <w:t xml:space="preserve">: not a</w:t>
      </w:r>
      <w:r>
        <w:t xml:space="preserve"> </w:t>
      </w:r>
      <w:r>
        <w:t xml:space="preserve">computing-education tool but a generic instrument for any discipline in which a learner must specify an</w:t>
      </w:r>
      <w:r>
        <w:t xml:space="preserve"> </w:t>
      </w:r>
      <w:r>
        <w:t xml:space="preserve">ill-defined task, judge a fallible solution, and steer it toward a better one. Its released content</w:t>
      </w:r>
      <w:r>
        <w:t xml:space="preserve"> </w:t>
      </w:r>
      <w:r>
        <w:t xml:space="preserve">already spans</w:t>
      </w:r>
      <w:r>
        <w:t xml:space="preserve"> </w:t>
      </w:r>
      <w:r>
        <w:rPr>
          <w:b/>
          <w:bCs/>
        </w:rPr>
        <w:t xml:space="preserve">12 disciplines</w:t>
      </w:r>
      <w:r>
        <w:t xml:space="preserve"> </w:t>
      </w:r>
      <w:r>
        <w:t xml:space="preserve">across STEM, the social sciences, the humanities, law, and</w:t>
      </w:r>
      <w:r>
        <w:t xml:space="preserve"> </w:t>
      </w:r>
      <w:r>
        <w:t xml:space="preserve">professional fields (Supplementary Material). An educator authors a challenge by naming a subject; the</w:t>
      </w:r>
      <w:r>
        <w:t xml:space="preserve"> </w:t>
      </w:r>
      <w:r>
        <w:t xml:space="preserve">system generates the ill-defined problem, the three per-skill rubrics, and the seeded-flaw solution.</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A student enters a challenge run with two phases, walked through step by</w:t>
      </w:r>
      <w:r>
        <w:t xml:space="preserve"> </w:t>
      </w:r>
      <w:r>
        <w:t xml:space="preserve">step in the Supplementary Material. In Phase 1 (Framing) the student refines the raw ill-defined problem,</w:t>
      </w:r>
      <w:r>
        <w:t xml:space="preserve"> </w:t>
      </w:r>
      <w:r>
        <w:t xml:space="preserve">by writing refinement sections (assumptions, constraints, clarifications, success metrics) or selecting</w:t>
      </w:r>
      <w:r>
        <w:t xml:space="preserve"> </w:t>
      </w:r>
      <w:r>
        <w:t xml:space="preserve">them in multiple-choice mode, and receives rubric-driven Framing feedback and a grade. The system then</w:t>
      </w:r>
      <w:r>
        <w:t xml:space="preserve"> </w:t>
      </w:r>
      <w:r>
        <w:t xml:space="preserve">produces a plausible but deliberately flawed solution. In Phase 2 the student repeatedly</w:t>
      </w:r>
      <w:r>
        <w:t xml:space="preserve"> </w:t>
      </w:r>
      <w:r>
        <w:rPr>
          <w:b/>
          <w:bCs/>
        </w:rPr>
        <w:t xml:space="preserve">judges</w:t>
      </w:r>
      <w:r>
        <w:t xml:space="preserve"> </w:t>
      </w:r>
      <w:r>
        <w:t xml:space="preserve">the</w:t>
      </w:r>
      <w:r>
        <w:t xml:space="preserve"> </w:t>
      </w:r>
      <w:r>
        <w:t xml:space="preserve">current output (flagging its issues) and</w:t>
      </w:r>
      <w:r>
        <w:t xml:space="preserve"> </w:t>
      </w:r>
      <w:r>
        <w:rPr>
          <w:b/>
          <w:bCs/>
        </w:rPr>
        <w:t xml:space="preserve">steers</w:t>
      </w:r>
      <w:r>
        <w:t xml:space="preserve"> </w:t>
      </w:r>
      <w:r>
        <w:t xml:space="preserve">the AI (issuing correction commands), up to a</w:t>
      </w:r>
      <w:r>
        <w:t xml:space="preserve"> </w:t>
      </w:r>
      <w:r>
        <w:t xml:space="preserve">configured maximum, and marks the task complete when satisfied. Framing, Judging, and Steering are</w:t>
      </w:r>
      <w:r>
        <w:t xml:space="preserve"> </w:t>
      </w:r>
      <w:r>
        <w:t xml:space="preserve">scored separately, each with its own rubric-driven feedback, and surfaced in a per-challenge report and</w:t>
      </w:r>
      <w:r>
        <w:t xml:space="preserve"> </w:t>
      </w:r>
      <w:r>
        <w:t xml:space="preserve">longitudinal analytics that track the three skills independently. This separation in the interface,</w:t>
      </w:r>
      <w:r>
        <w:t xml:space="preserve"> </w:t>
      </w:r>
      <w:r>
        <w:t xml:space="preserve">distinct phases, feedback channels, and grade columns, is the framework's central claim made</w:t>
      </w:r>
      <w:r>
        <w:t xml:space="preserve"> </w:t>
      </w:r>
      <w:r>
        <w:t xml:space="preserve">operational: a learner sees, and is scored on, three different things, not one undifferentiated</w:t>
      </w:r>
      <w:r>
        <w:t xml:space="preserve"> </w:t>
      </w:r>
      <w:r>
        <w:t xml:space="preserve">"AI use." The remainder of this section describes the instrument that produces those scores.</w:t>
      </w:r>
    </w:p>
    <w:bookmarkStart w:id="25" w:name="Xda76768f9859ddfff08169db8cdc74bf43af05b"/>
    <w:p>
      <w:pPr>
        <w:pStyle w:val="Heading3"/>
        <w:keepNext/>
        <w:keepLines/>
        <w:widowControl w:val="1"/>
      </w:pPr>
      <w:r>
        <w:t xml:space="preserve">7.1 Operationalization: the assessment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here is the scoring engine of the CoReasoningLab platform, a library of 16</w:t>
      </w:r>
      <w:r>
        <w:t xml:space="preserve"> </w:t>
      </w:r>
      <w:r>
        <w:t xml:space="preserve">prompts spanning challenge construction, AI generation, and evaluation (traced in the Supplementary</w:t>
      </w:r>
      <w:r>
        <w:t xml:space="preserve"> </w:t>
      </w:r>
      <w:r>
        <w:t xml:space="preserve">Material). It carries the deployed application's evaluation logic verbatim, the same rubrics, criteria,</w:t>
      </w:r>
      <w:r>
        <w:t xml:space="preserve"> </w:t>
      </w:r>
      <w:r>
        <w:t xml:space="preserve">and system prompts; the research harness (simulated-learner generation, the crossed factorial, and the</w:t>
      </w:r>
      <w:r>
        <w:t xml:space="preserve"> </w:t>
      </w:r>
      <w:r>
        <w:t xml:space="preserve">analysis) only orchestrates that fixed logic over controlled inputs, so the measurements are</w:t>
      </w:r>
      <w:r>
        <w:t xml:space="preserve"> </w:t>
      </w:r>
      <w:r>
        <w:t xml:space="preserve">reproducible and characterize the instrument itself. Because the grader is a language model, the results</w:t>
      </w:r>
      <w:r>
        <w:t xml:space="preserve"> </w:t>
      </w:r>
      <w:r>
        <w:t xml:space="preserve">below characterize the instrument's</w:t>
      </w:r>
      <w:r>
        <w:t xml:space="preserve"> </w:t>
      </w:r>
      <w:r>
        <w:rPr>
          <w:i/>
          <w:iCs/>
        </w:rPr>
        <w:t xml:space="preserve">internal</w:t>
      </w:r>
      <w:r>
        <w:t xml:space="preserve"> </w:t>
      </w:r>
      <w:r>
        <w:t xml:space="preserve">behavior (whether it separates controlled competence</w:t>
      </w:r>
      <w:r>
        <w:t xml:space="preserve"> </w:t>
      </w:r>
      <w:r>
        <w:t xml:space="preserve">levels and dissociates the skills); agreement with human experts is the separate validity question the</w:t>
      </w:r>
      <w:r>
        <w:t xml:space="preserve"> </w:t>
      </w:r>
      <w:r>
        <w:t xml:space="preserve">prepared study in Section 9.3 addresses.</w:t>
      </w:r>
    </w:p>
    <w:bookmarkEnd w:id="25"/>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9.3).</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(spanning STEM, the social sciences, and the humanities), for 80 simulated learners. Framing</w:t>
      </w:r>
      <w:r>
        <w:t xml:space="preserve"> </w:t>
      </w:r>
      <w:r>
        <w:t xml:space="preserve">and Steering responses are generated by the competence-conditioned learner model; Judging is</w:t>
      </w:r>
      <w:r>
        <w:t xml:space="preserve"> </w:t>
      </w:r>
      <w:r>
        <w:t xml:space="preserve">operationalized by a competence-conditioned selection over the challenge's ground-truth seeded issues (a</w:t>
      </w:r>
      <w:r>
        <w:t xml:space="preserve"> </w:t>
      </w:r>
      <w:r>
        <w:t xml:space="preserve">strong judge flags all real issues and no false ones; a weak judge flags few and adds false ones), which</w:t>
      </w:r>
      <w:r>
        <w:t xml:space="preserve"> </w:t>
      </w:r>
      <w:r>
        <w:t xml:space="preserve">are themselves machine-generated and not yet human-verified. Because the manipulation is per skill, the</w:t>
      </w:r>
      <w:r>
        <w:t xml:space="preserve"> </w:t>
      </w:r>
      <w:r>
        <w:t xml:space="preserve">design separates whether each grade tracks its</w:t>
      </w:r>
      <w:r>
        <w:t xml:space="preserve"> </w:t>
      </w:r>
      <w:r>
        <w:rPr>
          <w:i/>
          <w:iCs/>
        </w:rPr>
        <w:t xml:space="preserve">own</w:t>
      </w:r>
      <w:r>
        <w:t xml:space="preserve"> </w:t>
      </w:r>
      <w:r>
        <w:t xml:space="preserve">skill's competence (discrimination) from whether it</w:t>
      </w:r>
      <w:r>
        <w:t xml:space="preserve"> </w:t>
      </w:r>
      <w:r>
        <w:t xml:space="preserve">is</w:t>
      </w:r>
      <w:r>
        <w:t xml:space="preserve"> </w:t>
      </w:r>
      <w:r>
        <w:rPr>
          <w:i/>
          <w:iCs/>
        </w:rPr>
        <w:t xml:space="preserve">insensitive</w:t>
      </w:r>
      <w:r>
        <w:t xml:space="preserve"> </w:t>
      </w:r>
      <w:r>
        <w:t xml:space="preserve">to the others'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9.2).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+0.43</w:t>
            </w:r>
          </w:p>
        </w:tc>
      </w:tr>
    </w:tbl>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traits separate. Construct validity also requires the convergent</w:t>
      </w:r>
      <w:r>
        <w:t xml:space="preserve"> </w:t>
      </w:r>
      <w:r>
        <w:t xml:space="preserve">property, that the same skill measured by different methods agrees, and that the instrument reports</w:t>
      </w:r>
      <w:r>
        <w:t xml:space="preserve"> </w:t>
      </w:r>
      <w:r>
        <w:t xml:space="preserve">correlation when the underlying competence really is shared (Campbell &amp; Fiske, 1959). Two analyses</w:t>
      </w:r>
      <w:r>
        <w:t xml:space="preserve"> </w:t>
      </w:r>
      <w:r>
        <w:t xml:space="preserve">supply it. First, we treat the three grader backends (gpt-4o, gpt-4o-mini, and the independent-vendor</w:t>
      </w:r>
      <w:r>
        <w:t xml:space="preserve"> </w:t>
      </w:r>
      <w:r>
        <w:t xml:space="preserve">llama-3.3-70b) as independent methods. For the two skills with the widest grade range, the same skill</w:t>
      </w:r>
      <w:r>
        <w:t xml:space="preserve"> </w:t>
      </w:r>
      <w:r>
        <w:t xml:space="preserve">agrees across graders while</w:t>
      </w:r>
      <w:r>
        <w:t xml:space="preserve"> </w:t>
      </w:r>
      <w:r>
        <w:rPr>
          <w:i/>
          <w:iCs/>
        </w:rPr>
        <w:t xml:space="preserve">different</w:t>
      </w:r>
      <w:r>
        <w:t xml:space="preserve"> </w:t>
      </w:r>
      <w:r>
        <w:t xml:space="preserve">skills stay near zero (Table 3, Panel A), the convergent-high /</w:t>
      </w:r>
      <w:r>
        <w:t xml:space="preserve"> </w:t>
      </w:r>
      <w:r>
        <w:t xml:space="preserve">discriminant-low pattern a valid measure should show. Steering's narrower range under the P2 ceiling</w:t>
      </w:r>
      <w:r>
        <w:t xml:space="preserve"> </w:t>
      </w:r>
      <w:r>
        <w:t xml:space="preserve">gives a lower cross-method correlation, a restriction of variance rather than a separate construct.</w:t>
      </w:r>
      <w:r>
        <w:t xml:space="preserve"> </w:t>
      </w:r>
      <w:r>
        <w:t xml:space="preserve">Across the full matrix the convergent correlations exceed both heterotrait terms and no grader shows</w:t>
      </w:r>
      <w:r>
        <w:t xml:space="preserve"> </w:t>
      </w:r>
      <w:r>
        <w:t xml:space="preserve">halo, so all three Campbell-Fiske criteria hold. Second, the instrument is faithful to the population's</w:t>
      </w:r>
      <w:r>
        <w:t xml:space="preserve"> </w:t>
      </w:r>
      <w:r>
        <w:t xml:space="preserve">dependence structure (Table 3, Panel B): on learners whose competences are set</w:t>
      </w:r>
      <w:r>
        <w:t xml:space="preserve"> </w:t>
      </w:r>
      <w:r>
        <w:rPr>
          <w:i/>
          <w:iCs/>
        </w:rPr>
        <w:t xml:space="preserve">independently</w:t>
      </w:r>
      <w:r>
        <w:t xml:space="preserve"> </w:t>
      </w:r>
      <w:r>
        <w:t xml:space="preserve">the</w:t>
      </w:r>
      <w:r>
        <w:t xml:space="preserve"> </w:t>
      </w:r>
      <w:r>
        <w:t xml:space="preserve">inter-skill grade correlations are near zero, whereas on the 20 learners whose competences are all</w:t>
      </w:r>
      <w:r>
        <w:t xml:space="preserve"> </w:t>
      </w:r>
      <w:r>
        <w:t xml:space="preserve">strong or all weak the same instrument returns</w:t>
      </w:r>
      <w:r>
        <w:t xml:space="preserve"> </w:t>
      </w:r>
      <w:r>
        <w:rPr>
          <w:i/>
          <w:iCs/>
        </w:rPr>
        <w:t xml:space="preserve">positive</w:t>
      </w:r>
      <w:r>
        <w:t xml:space="preserve"> </w:t>
      </w:r>
      <w:r>
        <w:t xml:space="preserve">correlations. It therefore does not</w:t>
      </w:r>
      <w:r>
        <w:t xml:space="preserve"> </w:t>
      </w:r>
      <w:r>
        <w:t xml:space="preserve">manufacture dissociation, recovering independence when the competences are independent and correlation</w:t>
      </w:r>
      <w:r>
        <w:t xml:space="preserve"> </w:t>
      </w:r>
      <w:r>
        <w:t xml:space="preserve">when they are shared, which licenses reading the crossed-design separation as a property of the skills</w:t>
      </w:r>
      <w:r>
        <w:t xml:space="preserve"> </w:t>
      </w:r>
      <w:r>
        <w:t xml:space="preserve">rather than of the scoring.</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rPr>
                  <m:sty m:val="p"/>
                </m:rPr>
                <m:t>|</m:t>
              </m:r>
              <m:r>
                <m:t>ρ</m:t>
              </m:r>
              <m:r>
                <m:rPr>
                  <m:sty m:val="p"/>
                </m:rPr>
                <m:t>|</m:t>
              </m:r>
            </m:oMath>
            <w:r>
              <w:rPr>
                <w:rFonts w:ascii="Georgia" w:hAnsi="Georgia"/>
                <w:sz w:val="19"/>
              </w:rPr>
              <w:t xml:space="preserve"> </w:t>
            </w:r>
            <w:r>
              <w:rPr>
                <w:rFonts w:ascii="Georgia" w:hAnsi="Georgia"/>
                <w:sz w:val="19"/>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t>ρ</m:t>
              </m:r>
            </m:oMath>
            <w:r>
              <w:rPr>
                <w:rFonts w:ascii="Georgia" w:hAnsi="Georgia"/>
                <w:sz w:val="19"/>
              </w:rPr>
              <w:t xml:space="preserve"> </w:t>
            </w:r>
            <w:r>
              <w:rPr>
                <w:rFonts w:ascii="Georgia" w:hAnsi="Georgia"/>
                <w:sz w:val="19"/>
              </w:rPr>
              <w:t xml:space="preserve">= +0.41</w:t>
            </w:r>
          </w:p>
        </w:tc>
      </w:tr>
    </w:tbl>
    <w:p>
      <w:pPr>
        <w:pStyle w:val="BodyText"/>
        <w:spacing w:before="240"/>
        <w:jc w:val="both"/>
        <w:keepNext w:val="0"/>
        <w:keepLines w:val="0"/>
        <w:widowControl w:val="1"/>
      </w:pPr>
      <w:r>
        <w:t xml:space="preserve">The own-skill effects are directionally consistent across subjects: Framing and Steering each show a</w:t>
      </w:r>
      <w:r>
        <w:t xml:space="preserve"> </w:t>
      </w:r>
      <w:r>
        <w:t xml:space="preserve">positive own-competence effect in nine of the 10 subject areas, the two exceptions reflecting the small</w:t>
      </w:r>
      <w:r>
        <w:t xml:space="preserve"> </w:t>
      </w:r>
      <w:r>
        <w:t xml:space="preserve">per-subject sample rather than a sign reversal (Judging is fixed by construction throughout). The</w:t>
      </w:r>
      <w:r>
        <w:t xml:space="preserve"> </w:t>
      </w:r>
      <w:r>
        <w:t xml:space="preserve">designed-contrast personas make the separation concrete (Figure 4): a</w:t>
      </w:r>
      <w:r>
        <w:t xml:space="preserve"> </w:t>
      </w:r>
      <w:r>
        <w:rPr>
          <w:i/>
          <w:iCs/>
        </w:rPr>
        <w:t xml:space="preserve">weak-framer / strong-judge</w:t>
      </w:r>
      <w:r>
        <w:t xml:space="preserve"> </w:t>
      </w:r>
      <w:r>
        <w:t xml:space="preserve">learner scores Framing C but Judging A; a</w:t>
      </w:r>
      <w:r>
        <w:t xml:space="preserve"> </w:t>
      </w:r>
      <w:r>
        <w:rPr>
          <w:i/>
          <w:iCs/>
        </w:rPr>
        <w:t xml:space="preserve">strong-framer / weak-judge</w:t>
      </w:r>
      <w:r>
        <w:t xml:space="preserve"> </w:t>
      </w:r>
      <w:r>
        <w:t xml:space="preserve">learner inverts this; and a</w:t>
      </w:r>
      <w:r>
        <w:t xml:space="preserve"> </w:t>
      </w:r>
      <w:r>
        <w:rPr>
          <w:i/>
          <w:iCs/>
        </w:rPr>
        <w:t xml:space="preserve">weak / weak / strong-steerer</w:t>
      </w:r>
      <w:r>
        <w:t xml:space="preserve"> </w:t>
      </w:r>
      <w:r>
        <w:t xml:space="preserve">elevates only Steering. A single underlying "AI-use ability" cannot</w:t>
      </w:r>
      <w:r>
        <w:t xml:space="preserve"> </w:t>
      </w:r>
      <w:r>
        <w:t xml:space="preserve">produce these crossed profiles. Converging evidence comes from outside our synthetic setting: in an</w:t>
      </w:r>
      <w:r>
        <w:t xml:space="preserve"> </w:t>
      </w:r>
      <w:r>
        <w:t xml:space="preserve">intervention study, students'</w:t>
      </w:r>
      <w:r>
        <w:t xml:space="preserve"> </w:t>
      </w:r>
      <w:r>
        <w:rPr>
          <w:i/>
          <w:iCs/>
        </w:rPr>
        <w:t xml:space="preserve">behavioral</w:t>
      </w:r>
      <w:r>
        <w:t xml:space="preserve"> </w:t>
      </w:r>
      <w:r>
        <w:t xml:space="preserve">regulation of LLM use predicts effective use whereas</w:t>
      </w:r>
      <w:r>
        <w:t xml:space="preserve"> </w:t>
      </w:r>
      <w:r>
        <w:t xml:space="preserve">self-rated AI expertise does not (Clerc et al., 2026), so the skill of working with AI is distinct from</w:t>
      </w:r>
      <w:r>
        <w:t xml:space="preserve"> </w:t>
      </w:r>
      <w:r>
        <w:t xml:space="preserve">a general, self-assessed competence.</w:t>
      </w:r>
    </w:p>
    <w:p>
      <w:pPr>
        <w:pStyle w:val="BodyText"/>
        <w:jc w:val="both"/>
        <w:keepNext w:val="0"/>
        <w:keepLines w:val="0"/>
        <w:widowControl w:val="1"/>
      </w:pPr>
      <w:r>
        <w:rPr>
          <w:b/>
          <w:bCs/>
        </w:rPr>
        <w:t xml:space="preserve">Robustness and ablations.</w:t>
      </w:r>
      <w:r>
        <w:t xml:space="preserve"> </w:t>
      </w:r>
      <w:r>
        <w:t xml:space="preserve">Three checks, reported in full in the Supplementary Material, support the result. First, the grader is</w:t>
      </w:r>
      <w:r>
        <w:t xml:space="preserve"> </w:t>
      </w:r>
      <w:r>
        <w:rPr>
          <w:b/>
          <w:bCs/>
        </w:rPr>
        <w:t xml:space="preserve">92% self-consistent</w:t>
      </w:r>
      <w:r>
        <w:t xml:space="preserve"> </w:t>
      </w:r>
      <w:r>
        <w:t xml:space="preserve">on repeat, a precision check, not accuracy against humans. Second, the dissociation replicates across three grader backends spanning two providers (gpt-4o, gpt-4o-mini, and Meta's llama-3.3-70b; diagonal-to-off-diagonal ratio 39), so it does not hinge on one model snapshot. Third, a ground-truth ablation shows Framing and Steering are scored by rubric-guided model judgment while Judging, as instrumented, tracks the seeded answer key, which locates the Judging score to settings with known ground truth (Section 9.3 specifies the open-ended variant).</w:t>
      </w:r>
    </w:p>
    <w:p>
      <w:pPr>
        <w:pStyle w:val="BodyText"/>
        <w:jc w:val="both"/>
        <w:keepNext w:val="0"/>
        <w:keepLines w:val="0"/>
        <w:widowControl w:val="1"/>
      </w:pPr>
      <w:r>
        <w:rPr>
          <w:b/>
          <w:bCs/>
        </w:rPr>
        <w:t xml:space="preserve">Scope.</w:t>
      </w:r>
      <w:r>
        <w:t xml:space="preserve"> </w:t>
      </w:r>
      <w:r>
        <w:t xml:space="preserve">These results establish feasibility, with four qualifications. Judging's clean diagonal</w:t>
      </w:r>
      <w:r>
        <w:t xml:space="preserve"> </w:t>
      </w:r>
      <w:r>
        <w:t xml:space="preserve">(+2.00, zero cross-effects) is a controlled check by design, so the independent separation evidence is</w:t>
      </w:r>
      <w:r>
        <w:t xml:space="preserve"> </w:t>
      </w:r>
      <w:r>
        <w:t xml:space="preserve">carried by the free-text, blind-graded Framing and Steering (own-effects +0.62 and +0.43 with near-zero</w:t>
      </w:r>
      <w:r>
        <w:t xml:space="preserve"> </w:t>
      </w:r>
      <w:r>
        <w:t xml:space="preserve">cross-effects). The dissociation replicates across grader backends from two providers (Supplementary</w:t>
      </w:r>
      <w:r>
        <w:t xml:space="preserve"> </w:t>
      </w:r>
      <w:r>
        <w:t xml:space="preserve">Material), while agreement with human experts is the validity step the prepared study of Section 9.3</w:t>
      </w:r>
      <w:r>
        <w:t xml:space="preserve"> </w:t>
      </w:r>
      <w:r>
        <w:t xml:space="preserve">supplies. With three constructs the evidence rests on the manipulation-based effect matrix and the</w:t>
      </w:r>
      <w:r>
        <w:t xml:space="preserve"> </w:t>
      </w:r>
      <w:r>
        <w:t xml:space="preserve">inter-skill correlations, the appropriate tests for this design. Finally, Steering's own-effect is</w:t>
      </w:r>
      <w:r>
        <w:t xml:space="preserve"> </w:t>
      </w:r>
      <w:r>
        <w:t xml:space="preserve">governed by the P2 ceiling by design (its quality is bounded by the judging that precedes it); this is a</w:t>
      </w:r>
      <w:r>
        <w:t xml:space="preserve"> </w:t>
      </w:r>
      <w:r>
        <w:t xml:space="preserve">property of the construct, not the grader, since under a deliberately strict steering rubric the effect</w:t>
      </w:r>
      <w:r>
        <w:t xml:space="preserve"> </w:t>
      </w:r>
      <w:r>
        <w:t xml:space="preserve">is unchanged (+0.40 versus +0.50) and the dissociation persists. Human steering data will trace this</w:t>
      </w:r>
      <w:r>
        <w:t xml:space="preserve"> </w:t>
      </w:r>
      <w:r>
        <w:t xml:space="preserve">ceiling directly.</w:t>
      </w:r>
    </w:p>
    <w:bookmarkEnd w:id="33"/>
    <w:bookmarkStart w:id="37" w:name="X7c81bf03759b1b00759d96e3a328e2270cfccbb"/>
    <w:p>
      <w:pPr>
        <w:pStyle w:val="Heading2"/>
        <w:keepNext/>
        <w:keepLines/>
        <w:widowControl w:val="1"/>
      </w:pPr>
      <w:r>
        <w:t xml:space="preserve">9. Discussion</w:t>
      </w:r>
    </w:p>
    <w:p>
      <w:pPr>
        <w:pStyle w:val="FirstParagraph"/>
        <w:jc w:val="both"/>
        <w:keepNext w:val="0"/>
        <w:keepLines w:val="0"/>
        <w:widowControl w:val="1"/>
      </w:pPr>
      <w:r>
        <w:t xml:space="preserve">The feasibility demonstration establishes that the three skills are separable and automatically scoreable; this section reconciles the tensions the framework raises, bounds the present evidence, and specifies the validation program it invites.</w:t>
      </w:r>
    </w:p>
    <w:bookmarkStart w:id="34" w:name="X9cd38e1771607e53b4b4a0356b4c74bde46c9a2"/>
    <w:p>
      <w:pPr>
        <w:pStyle w:val="Heading3"/>
        <w:keepNext/>
        <w:keepLines/>
        <w:widowControl w:val="1"/>
      </w:pPr>
      <w:r>
        <w:t xml:space="preserve">9.1 Tensions the framework reconciles</w:t>
      </w:r>
    </w:p>
    <w:p>
      <w:pPr>
        <w:pStyle w:val="FirstParagraph"/>
        <w:jc w:val="both"/>
        <w:keepNext w:val="0"/>
        <w:keepLines w:val="0"/>
        <w:widowControl w:val="1"/>
      </w:pPr>
      <w:r>
        <w:t xml:space="preserve">Four tensions bear on the framework, each with a resolution within it.</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9.3.</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a9110b14b39a15f11efd4a7059397e4d3b338cc"/>
    <w:p>
      <w:pPr>
        <w:pStyle w:val="Heading3"/>
        <w:keepNext/>
        <w:keepLines/>
        <w:widowControl w:val="1"/>
      </w:pPr>
      <w:r>
        <w:t xml:space="preserve">9.2 Scope and boundary conditions</w:t>
      </w:r>
    </w:p>
    <w:p>
      <w:pPr>
        <w:pStyle w:val="FirstParagraph"/>
        <w:jc w:val="both"/>
        <w:keepNext w:val="0"/>
        <w:keepLines w:val="0"/>
        <w:widowControl w:val="1"/>
      </w:pPr>
      <w:r>
        <w:t xml:space="preserve">This is a conceptual contribution with a working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9.3.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9.3).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9.3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5"/>
    <w:bookmarkStart w:id="36" w:name="Xf6895654d04db058866422aa3d66bea4a80775b"/>
    <w:p>
      <w:pPr>
        <w:pStyle w:val="Heading3"/>
        <w:keepNext/>
        <w:keepLines/>
        <w:widowControl w:val="1"/>
      </w:pPr>
      <w:r>
        <w:t xml:space="preserve">9.3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6"/>
    <w:bookmarkEnd w:id="37"/>
    <w:bookmarkStart w:id="38" w:name="Xc72408c88f6aa3f318e9c4f077d22b48a39071f"/>
    <w:p>
      <w:pPr>
        <w:pStyle w:val="Heading2"/>
        <w:keepNext/>
        <w:keepLines/>
        <w:widowControl w:val="1"/>
      </w:pPr>
      <w:r>
        <w:t xml:space="preserve">10.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w:t>
      </w:r>
      <w:r>
        <w:t xml:space="preserve"> </w:t>
      </w:r>
      <w:r>
        <w:t xml:space="preserve">university educator in any discipline, from algorithms to applied ethics, can assess and train this skill, for the</w:t>
      </w:r>
      <w:r>
        <w:t xml:space="preserve"> </w:t>
      </w:r>
      <w:r>
        <w:t xml:space="preserve">assessment and instruction the moment demands.</w:t>
      </w:r>
    </w:p>
    <w:bookmarkEnd w:id="38"/>
    <w:bookmarkStart w:id="39" w:name="declarations"/>
    <w:p>
      <w:pPr>
        <w:pStyle w:val="Heading2"/>
        <w:keepNext/>
        <w:keepLines/>
        <w:widowControl w:val="1"/>
      </w:pPr>
      <w:r>
        <w:t xml:space="preserve">Declarations</w:t>
      </w:r>
    </w:p>
    <w:p>
      <w:pPr>
        <w:pStyle w:val="FirstParagraph"/>
        <w:jc w:val="both"/>
        <w:keepNext w:val="0"/>
        <w:keepLines w:val="0"/>
        <w:widowControl w:val="1"/>
      </w:pPr>
      <w:r>
        <w:rPr>
          <w:b/>
          <w:bCs/>
        </w:rPr>
        <w:t xml:space="preserve">Availability of data and materials.</w:t>
      </w:r>
      <w:r>
        <w:t xml:space="preserve"> </w:t>
      </w:r>
      <w:r>
        <w:t xml:space="preserve">The assessment instrument (the 16-prompt scoring engine),</w:t>
      </w:r>
      <w:r>
        <w:t xml:space="preserve"> </w:t>
      </w:r>
      <w:r>
        <w:t xml:space="preserve">the experiment data, and the prepared human-rater validation protocol are released in a public</w:t>
      </w:r>
      <w:r>
        <w:t xml:space="preserve"> </w:t>
      </w:r>
      <w:r>
        <w:t xml:space="preserve">repository (URL withheld to preserve anonymous review; available to the editors on request).</w:t>
      </w:r>
    </w:p>
    <w:p>
      <w:pPr>
        <w:pStyle w:val="BodyText"/>
        <w:jc w:val="both"/>
        <w:keepNext w:val="0"/>
        <w:keepLines w:val="0"/>
        <w:widowControl w:val="1"/>
      </w:pPr>
      <w:r>
        <w:rPr>
          <w:b/>
          <w:bCs/>
        </w:rPr>
        <w:t xml:space="preserve">Competing interests.</w:t>
      </w:r>
      <w:r>
        <w:t xml:space="preserve"> </w:t>
      </w:r>
      <w:r>
        <w:t xml:space="preserve">The authors declare that they have no competing interests.</w:t>
      </w:r>
    </w:p>
    <w:p>
      <w:pPr>
        <w:pStyle w:val="BodyText"/>
        <w:jc w:val="both"/>
        <w:keepNext w:val="0"/>
        <w:keepLines w:val="0"/>
        <w:widowControl w:val="1"/>
      </w:pPr>
      <w:r>
        <w:rPr>
          <w:b/>
          <w:bCs/>
        </w:rPr>
        <w:t xml:space="preserve">Funding.</w:t>
      </w:r>
      <w:r>
        <w:t xml:space="preserve"> </w:t>
      </w:r>
      <w:r>
        <w:t xml:space="preserve">The authors received no specific grant from any funding agency in the public, commercial,</w:t>
      </w:r>
      <w:r>
        <w:t xml:space="preserve"> </w:t>
      </w:r>
      <w:r>
        <w:t xml:space="preserve">or not-for-profit sectors for this research.</w:t>
      </w:r>
    </w:p>
    <w:p>
      <w:pPr>
        <w:pStyle w:val="BodyText"/>
        <w:jc w:val="both"/>
        <w:keepNext w:val="0"/>
        <w:keepLines w:val="0"/>
        <w:widowControl w:val="1"/>
      </w:pPr>
      <w:r>
        <w:rPr>
          <w:b/>
          <w:bCs/>
        </w:rPr>
        <w:t xml:space="preserve">Authors' contributions.</w:t>
      </w:r>
      <w:r>
        <w:t xml:space="preserve"> </w:t>
      </w:r>
      <w:r>
        <w:t xml:space="preserve">Both authors contributed to the conception and design of the competency</w:t>
      </w:r>
      <w:r>
        <w:t xml:space="preserve"> </w:t>
      </w:r>
      <w:r>
        <w:t xml:space="preserve">model, the design and implementation of the instrument and experiments, the analysis and interpretation</w:t>
      </w:r>
      <w:r>
        <w:t xml:space="preserve"> </w:t>
      </w:r>
      <w:r>
        <w:t xml:space="preserve">of the results, and the drafting and critical revision of the manuscript. Both authors read and approved</w:t>
      </w:r>
      <w:r>
        <w:t xml:space="preserve"> </w:t>
      </w:r>
      <w:r>
        <w:t xml:space="preserve">the final manuscript.</w:t>
      </w:r>
    </w:p>
    <w:p>
      <w:pPr>
        <w:pStyle w:val="BodyText"/>
        <w:jc w:val="both"/>
        <w:keepNext w:val="0"/>
        <w:keepLines w:val="0"/>
        <w:widowControl w:val="1"/>
      </w:pPr>
      <w:r>
        <w:rPr>
          <w:b/>
          <w:bCs/>
        </w:rPr>
        <w:t xml:space="preserve">Ethics approval and consent to participate.</w:t>
      </w:r>
      <w:r>
        <w:t xml:space="preserve"> </w:t>
      </w:r>
      <w:r>
        <w:t xml:space="preserve">Not applicable. The study reports a feasibility</w:t>
      </w:r>
      <w:r>
        <w:t xml:space="preserve"> </w:t>
      </w:r>
      <w:r>
        <w:t xml:space="preserve">demonstration over model-generated simulated learners and involves no human participants.</w:t>
      </w:r>
    </w:p>
    <w:p>
      <w:pPr>
        <w:pStyle w:val="BodyText"/>
        <w:jc w:val="both"/>
        <w:keepNext w:val="0"/>
        <w:keepLines w:val="0"/>
        <w:widowControl w:val="1"/>
      </w:pPr>
      <w:r>
        <w:rPr>
          <w:b/>
          <w:bCs/>
        </w:rPr>
        <w:t xml:space="preserve">Consent for publication.</w:t>
      </w:r>
      <w:r>
        <w:t xml:space="preserve"> </w:t>
      </w:r>
      <w:r>
        <w:t xml:space="preserve">Not applicable.</w:t>
      </w:r>
    </w:p>
    <w:p>
      <w:pPr>
        <w:pStyle w:val="BodyText"/>
        <w:jc w:val="both"/>
        <w:keepNext w:val="0"/>
        <w:keepLines w:val="0"/>
        <w:widowControl w:val="1"/>
      </w:pPr>
      <w:r>
        <w:rPr>
          <w:b/>
          <w:bCs/>
        </w:rPr>
        <w:t xml:space="preserve">Acknowledgements.</w:t>
      </w:r>
      <w:r>
        <w:t xml:space="preserve"> </w:t>
      </w:r>
      <w:r>
        <w:t xml:space="preserve">Not applicable.</w:t>
      </w:r>
    </w:p>
    <w:bookmarkEnd w:id="39"/>
    <w:bookmarkStart w:id="4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Acar, O. A. (2023, June 6). AI prompt engineering isn't the future.</w:t>
      </w:r>
      <w:r>
        <w:t xml:space="preserve"> </w:t>
      </w:r>
      <w:r>
        <w:rPr>
          <w:i/>
          <w:iCs/>
        </w:rPr>
        <w:t xml:space="preserve">Harvard Business Review</w:t>
      </w:r>
      <w:r>
        <w:t xml:space="preserve">.</w:t>
      </w:r>
    </w:p>
    <w:p>
      <w:pPr>
        <w:pStyle w:val="ReferenceEntry"/>
        <w:spacing w:after="100"/>
        <w:ind w:left="475" w:hanging="475"/>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 Longman.</w:t>
      </w:r>
    </w:p>
    <w:p>
      <w:pPr>
        <w:pStyle w:val="ReferenceEntry"/>
        <w:spacing w:after="100"/>
        <w:ind w:left="475" w:hanging="475"/>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100"/>
        <w:ind w:left="475" w:hanging="475"/>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 27</w:t>
      </w:r>
      <w:r>
        <w:t xml:space="preserve">(3), 353–389.</w:t>
      </w:r>
    </w:p>
    <w:p>
      <w:pPr>
        <w:pStyle w:val="ReferenceEntry"/>
        <w:spacing w:after="100"/>
        <w:ind w:left="475" w:hanging="475"/>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 49</w:t>
      </w:r>
      <w:r>
        <w:t xml:space="preserve">(6), 893–905. https://doi.org/10.1080/02602938.2024.2335321</w:t>
      </w:r>
    </w:p>
    <w:p>
      <w:pPr>
        <w:pStyle w:val="ReferenceEntry"/>
        <w:spacing w:after="100"/>
        <w:ind w:left="475" w:hanging="475"/>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100"/>
        <w:ind w:left="475" w:hanging="475"/>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 5</w:t>
      </w:r>
      <w:r>
        <w:t xml:space="preserve">(CSCW1), 1–21.</w:t>
      </w:r>
    </w:p>
    <w:p>
      <w:pPr>
        <w:pStyle w:val="ReferenceEntry"/>
        <w:spacing w:after="100"/>
        <w:ind w:left="475" w:hanging="475"/>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 56</w:t>
      </w:r>
      <w:r>
        <w:t xml:space="preserve">(2), 81–105.</w:t>
      </w:r>
    </w:p>
    <w:p>
      <w:pPr>
        <w:pStyle w:val="ReferenceEntry"/>
        <w:spacing w:after="100"/>
        <w:ind w:left="475" w:hanging="475"/>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 49</w:t>
      </w:r>
      <w:r>
        <w:t xml:space="preserve">(4), 219–243.</w:t>
      </w:r>
    </w:p>
    <w:p>
      <w:pPr>
        <w:pStyle w:val="ReferenceEntry"/>
        <w:spacing w:after="100"/>
        <w:ind w:left="475" w:hanging="475"/>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100"/>
        <w:ind w:left="475" w:hanging="475"/>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100"/>
        <w:ind w:left="475" w:hanging="475"/>
        <w:jc w:val="left"/>
        <w:keepNext w:val="0"/>
        <w:keepLines w:val="0"/>
        <w:widowControl w:val="1"/>
      </w:pPr>
      <w:r>
        <w:rPr>
          <w:rFonts w:ascii="Georgia" w:hAnsi="Georgia"/>
          <w:sz w:val="20"/>
        </w:rPr>
        <w:t xml:space="preserve">13. </w:t>
      </w:r>
      <w:r>
        <w:t xml:space="preserve">Dakan, R., &amp; Feller, J. (2025). Framework for AI fluency. Anthropic.</w:t>
      </w:r>
    </w:p>
    <w:p>
      <w:pPr>
        <w:pStyle w:val="ReferenceEntry"/>
        <w:spacing w:after="100"/>
        <w:ind w:left="475" w:hanging="475"/>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100"/>
        <w:ind w:left="475" w:hanging="475"/>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100"/>
        <w:ind w:left="475" w:hanging="475"/>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100"/>
        <w:ind w:left="475" w:hanging="475"/>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 22</w:t>
      </w:r>
      <w:r>
        <w:t xml:space="preserve">(3), 206–214. https://doi.org/10.1016/j.learninstruc.2011.11.001</w:t>
      </w:r>
    </w:p>
    <w:p>
      <w:pPr>
        <w:pStyle w:val="ReferenceEntry"/>
        <w:spacing w:after="100"/>
        <w:ind w:left="475" w:hanging="475"/>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 10</w:t>
      </w:r>
      <w:r>
        <w:t xml:space="preserve">, 1596462. https://doi.org/10.3389/feduc.2025.1596462</w:t>
      </w:r>
    </w:p>
    <w:p>
      <w:pPr>
        <w:pStyle w:val="ReferenceEntry"/>
        <w:spacing w:after="100"/>
        <w:ind w:left="475" w:hanging="475"/>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 American Philosophical Association.</w:t>
      </w:r>
    </w:p>
    <w:p>
      <w:pPr>
        <w:pStyle w:val="ReferenceEntry"/>
        <w:spacing w:after="100"/>
        <w:ind w:left="475" w:hanging="475"/>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 56</w:t>
      </w:r>
      <w:r>
        <w:t xml:space="preserve">(2), 489–530. https://doi.org/10.1111/bjet.13544</w:t>
      </w:r>
    </w:p>
    <w:p>
      <w:pPr>
        <w:pStyle w:val="ReferenceEntry"/>
        <w:spacing w:after="100"/>
        <w:ind w:left="475" w:hanging="475"/>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100"/>
        <w:ind w:left="475" w:hanging="475"/>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100"/>
        <w:ind w:left="475" w:hanging="475"/>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 34</w:t>
      </w:r>
      <w:r>
        <w:t xml:space="preserve">(10), 906–911.</w:t>
      </w:r>
    </w:p>
    <w:p>
      <w:pPr>
        <w:pStyle w:val="ReferenceEntry"/>
        <w:spacing w:after="100"/>
        <w:ind w:left="475" w:hanging="475"/>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 5</w:t>
      </w:r>
      <w:r>
        <w:t xml:space="preserve">, 268. https://doi.org/10.1007/s44163-025-00516-1</w:t>
      </w:r>
    </w:p>
    <w:p>
      <w:pPr>
        <w:pStyle w:val="ReferenceEntry"/>
        <w:spacing w:after="100"/>
        <w:ind w:left="475" w:hanging="475"/>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 15</w:t>
      </w:r>
      <w:r>
        <w:t xml:space="preserve">(1), 6.</w:t>
      </w:r>
    </w:p>
    <w:p>
      <w:pPr>
        <w:pStyle w:val="ReferenceEntry"/>
        <w:spacing w:after="100"/>
        <w:ind w:left="475" w:hanging="475"/>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 40</w:t>
      </w:r>
      <w:r>
        <w:t xml:space="preserve">(2), 127–130. https://doi.org/10.1177/1059601115576425</w:t>
      </w:r>
    </w:p>
    <w:p>
      <w:pPr>
        <w:pStyle w:val="ReferenceEntry"/>
        <w:spacing w:after="100"/>
        <w:ind w:left="475" w:hanging="475"/>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 17</w:t>
      </w:r>
      <w:r>
        <w:t xml:space="preserve">(6), 612–634. https://doi.org/10.1016/j.learninstruc.2007.09.008</w:t>
      </w:r>
    </w:p>
    <w:p>
      <w:pPr>
        <w:pStyle w:val="ReferenceEntry"/>
        <w:spacing w:after="100"/>
        <w:ind w:left="475" w:hanging="475"/>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100"/>
        <w:ind w:left="475" w:hanging="475"/>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 77</w:t>
      </w:r>
      <w:r>
        <w:t xml:space="preserve">(1), 81–112.</w:t>
      </w:r>
    </w:p>
    <w:p>
      <w:pPr>
        <w:pStyle w:val="ReferenceEntry"/>
        <w:spacing w:after="100"/>
        <w:ind w:left="475" w:hanging="475"/>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 10</w:t>
      </w:r>
      <w:r>
        <w:t xml:space="preserve">, 18–26.</w:t>
      </w:r>
    </w:p>
    <w:p>
      <w:pPr>
        <w:pStyle w:val="ReferenceEntry"/>
        <w:spacing w:after="100"/>
        <w:ind w:left="475" w:hanging="475"/>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100"/>
        <w:ind w:left="475" w:hanging="475"/>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 50</w:t>
      </w:r>
      <w:r>
        <w:t xml:space="preserve">(1), 1–73. https://doi.org/10.1111/jedm.12000</w:t>
      </w:r>
    </w:p>
    <w:p>
      <w:pPr>
        <w:pStyle w:val="ReferenceEntry"/>
        <w:spacing w:after="100"/>
        <w:ind w:left="475" w:hanging="475"/>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 26</w:t>
      </w:r>
      <w:r>
        <w:t xml:space="preserve">(3), 379–424.</w:t>
      </w:r>
    </w:p>
    <w:p>
      <w:pPr>
        <w:pStyle w:val="ReferenceEntry"/>
        <w:spacing w:after="100"/>
        <w:ind w:left="475" w:hanging="475"/>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 63</w:t>
      </w:r>
      <w:r>
        <w:t xml:space="preserve">(3), 565–586. https://doi.org/10.1177/07356331251314222</w:t>
      </w:r>
    </w:p>
    <w:p>
      <w:pPr>
        <w:pStyle w:val="ReferenceEntry"/>
        <w:spacing w:after="100"/>
        <w:ind w:left="475" w:hanging="475"/>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100"/>
        <w:ind w:left="475" w:hanging="475"/>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 35</w:t>
      </w:r>
      <w:r>
        <w:t xml:space="preserve">(6), 3746–3779. https://doi.org/10.1007/s40593-025-00514-5</w:t>
      </w:r>
    </w:p>
    <w:p>
      <w:pPr>
        <w:pStyle w:val="ReferenceEntry"/>
        <w:spacing w:after="100"/>
        <w:ind w:left="475" w:hanging="475"/>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 46</w:t>
      </w:r>
      <w:r>
        <w:t xml:space="preserve">(1), 50–80.</w:t>
      </w:r>
    </w:p>
    <w:p>
      <w:pPr>
        <w:pStyle w:val="ReferenceEntry"/>
        <w:spacing w:after="100"/>
        <w:ind w:left="475" w:hanging="475"/>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100"/>
        <w:ind w:left="475" w:hanging="475"/>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 10</w:t>
      </w:r>
      <w:r>
        <w:t xml:space="preserve">, 100571. https://doi.org/10.1016/j.caeai.2026.100571</w:t>
      </w:r>
    </w:p>
    <w:p>
      <w:pPr>
        <w:pStyle w:val="ReferenceEntry"/>
        <w:spacing w:after="100"/>
        <w:ind w:left="475" w:hanging="475"/>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 49</w:t>
      </w:r>
      <w:r>
        <w:t xml:space="preserve">(4).</w:t>
      </w:r>
    </w:p>
    <w:p>
      <w:pPr>
        <w:pStyle w:val="ReferenceEntry"/>
        <w:spacing w:after="100"/>
        <w:ind w:left="475" w:hanging="475"/>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100"/>
        <w:ind w:left="475" w:hanging="475"/>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100"/>
        <w:ind w:left="475" w:hanging="475"/>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 50</w:t>
      </w:r>
      <w:r>
        <w:t xml:space="preserve">(9), 741–749. https://doi.org/10.1037/0003-066X.50.9.741</w:t>
      </w:r>
    </w:p>
    <w:p>
      <w:pPr>
        <w:pStyle w:val="ReferenceEntry"/>
        <w:spacing w:after="100"/>
        <w:ind w:left="475" w:hanging="475"/>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100"/>
        <w:ind w:left="475" w:hanging="475"/>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 26</w:t>
      </w:r>
      <w:r>
        <w:t xml:space="preserve">, 125–173.</w:t>
      </w:r>
    </w:p>
    <w:p>
      <w:pPr>
        <w:pStyle w:val="ReferenceEntry"/>
        <w:spacing w:after="100"/>
        <w:ind w:left="475" w:hanging="475"/>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 52</w:t>
      </w:r>
      <w:r>
        <w:t xml:space="preserve">(3), 381–410.</w:t>
      </w:r>
    </w:p>
    <w:p>
      <w:pPr>
        <w:pStyle w:val="ReferenceEntry"/>
        <w:spacing w:after="100"/>
        <w:ind w:left="475" w:hanging="475"/>
        <w:jc w:val="left"/>
        <w:keepNext w:val="0"/>
        <w:keepLines w:val="0"/>
        <w:widowControl w:val="1"/>
      </w:pPr>
      <w:r>
        <w:rPr>
          <w:rFonts w:ascii="Georgia" w:hAnsi="Georgia"/>
          <w:sz w:val="20"/>
        </w:rPr>
        <w:t xml:space="preserve">47. </w:t>
      </w:r>
      <w:r>
        <w:t xml:space="preserve">Paul, R., &amp; Elder, L. (2006). The miniature guide to critical thinking: Concepts and tools. Foundation for Critical Thinking.</w:t>
      </w:r>
    </w:p>
    <w:p>
      <w:pPr>
        <w:pStyle w:val="ReferenceEntry"/>
        <w:spacing w:after="100"/>
        <w:ind w:left="475" w:hanging="475"/>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100"/>
        <w:ind w:left="475" w:hanging="475"/>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 7</w:t>
      </w:r>
      <w:r>
        <w:t xml:space="preserve">(3), 243–267.</w:t>
      </w:r>
    </w:p>
    <w:p>
      <w:pPr>
        <w:pStyle w:val="ReferenceEntry"/>
        <w:spacing w:after="100"/>
        <w:ind w:left="475" w:hanging="475"/>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 18</w:t>
      </w:r>
      <w:r>
        <w:t xml:space="preserve">(2), 119–144.</w:t>
      </w:r>
    </w:p>
    <w:p>
      <w:pPr>
        <w:pStyle w:val="ReferenceEntry"/>
        <w:spacing w:after="100"/>
        <w:ind w:left="475" w:hanging="475"/>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 20</w:t>
      </w:r>
      <w:r>
        <w:t xml:space="preserve">(3), 2–9.</w:t>
      </w:r>
    </w:p>
    <w:p>
      <w:pPr>
        <w:pStyle w:val="ReferenceEntry"/>
        <w:spacing w:after="100"/>
        <w:ind w:left="475" w:hanging="475"/>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100"/>
        <w:ind w:left="475" w:hanging="475"/>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 25</w:t>
      </w:r>
      <w:r>
        <w:t xml:space="preserve">(4), 359–393.</w:t>
      </w:r>
    </w:p>
    <w:p>
      <w:pPr>
        <w:pStyle w:val="ReferenceEntry"/>
        <w:spacing w:after="100"/>
        <w:ind w:left="475" w:hanging="475"/>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100"/>
        <w:ind w:left="475" w:hanging="475"/>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100"/>
        <w:ind w:left="475" w:hanging="475"/>
        <w:jc w:val="left"/>
        <w:keepNext w:val="0"/>
        <w:keepLines w:val="0"/>
        <w:widowControl w:val="1"/>
      </w:pPr>
      <w:r>
        <w:rPr>
          <w:rFonts w:ascii="Georgia" w:hAnsi="Georgia"/>
          <w:sz w:val="20"/>
        </w:rPr>
        <w:t xml:space="preserve">57. </w:t>
      </w:r>
      <w:r>
        <w:t xml:space="preserve">UNESCO (2024). AI competency framework for students. UNESCO.</w:t>
      </w:r>
    </w:p>
    <w:p>
      <w:pPr>
        <w:pStyle w:val="ReferenceEntry"/>
        <w:spacing w:after="100"/>
        <w:ind w:left="475" w:hanging="475"/>
        <w:jc w:val="left"/>
        <w:keepNext w:val="0"/>
        <w:keepLines w:val="0"/>
        <w:widowControl w:val="1"/>
      </w:pPr>
      <w:r>
        <w:rPr>
          <w:rFonts w:ascii="Georgia" w:hAnsi="Georgia"/>
          <w:sz w:val="20"/>
        </w:rPr>
        <w:t xml:space="preserve">58. </w:t>
      </w:r>
      <w:r>
        <w:t xml:space="preserve">Vaccaro, M., Almaatouq, A., &amp; Malone, T. (2024). When combinations of humans and AI are useful: A systematic review and meta-analysis.</w:t>
      </w:r>
      <w:r>
        <w:t xml:space="preserve"> </w:t>
      </w:r>
      <w:r>
        <w:rPr>
          <w:i/>
          <w:iCs/>
        </w:rPr>
        <w:t xml:space="preserve">Nature Human Behaviour, 8</w:t>
      </w:r>
      <w:r>
        <w:t xml:space="preserve">, 2293–2303.</w:t>
      </w:r>
    </w:p>
    <w:p>
      <w:pPr>
        <w:pStyle w:val="ReferenceEntry"/>
        <w:spacing w:after="100"/>
        <w:ind w:left="475" w:hanging="475"/>
        <w:jc w:val="left"/>
        <w:keepNext w:val="0"/>
        <w:keepLines w:val="0"/>
        <w:widowControl w:val="1"/>
      </w:pPr>
      <w:r>
        <w:rPr>
          <w:rFonts w:ascii="Georgia" w:hAnsi="Georgia"/>
          <w:sz w:val="20"/>
        </w:rPr>
        <w:t xml:space="preserve">59. </w:t>
      </w:r>
      <w:r>
        <w:t xml:space="preserve">Vygotsky, L. S. (1978). Mind in society: The development of higher psychological processes. Harvard University Press.</w:t>
      </w:r>
    </w:p>
    <w:p>
      <w:pPr>
        <w:pStyle w:val="ReferenceEntry"/>
        <w:spacing w:after="100"/>
        <w:ind w:left="475" w:hanging="475"/>
        <w:jc w:val="left"/>
        <w:keepNext w:val="0"/>
        <w:keepLines w:val="0"/>
        <w:widowControl w:val="1"/>
      </w:pPr>
      <w:r>
        <w:rPr>
          <w:rFonts w:ascii="Georgia" w:hAnsi="Georgia"/>
          <w:sz w:val="20"/>
        </w:rPr>
        <w:t xml:space="preserve">60.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100"/>
        <w:ind w:left="475" w:hanging="475"/>
        <w:jc w:val="left"/>
        <w:keepNext w:val="0"/>
        <w:keepLines w:val="0"/>
        <w:widowControl w:val="1"/>
      </w:pPr>
      <w:r>
        <w:rPr>
          <w:rFonts w:ascii="Georgia" w:hAnsi="Georgia"/>
          <w:sz w:val="20"/>
        </w:rPr>
        <w:t xml:space="preserve">61. </w:t>
      </w:r>
      <w:r>
        <w:t xml:space="preserve">Wingerter, T. L., Straub, T., &amp; Schweitzer, S. (2025). Mitigating automation bias in generative AI through nudges: A cognitive reflection test study.</w:t>
      </w:r>
      <w:r>
        <w:t xml:space="preserve"> </w:t>
      </w:r>
      <w:r>
        <w:rPr>
          <w:i/>
          <w:iCs/>
        </w:rPr>
        <w:t xml:space="preserve">Procedia Computer Science, 270</w:t>
      </w:r>
      <w:r>
        <w:t xml:space="preserve">, 2106–2114. https://doi.org/10.1016/j.procs.2025.09.331</w:t>
      </w:r>
    </w:p>
    <w:p>
      <w:pPr>
        <w:pStyle w:val="ReferenceEntry"/>
        <w:spacing w:after="100"/>
        <w:ind w:left="475" w:hanging="475"/>
        <w:jc w:val="left"/>
        <w:keepNext w:val="0"/>
        <w:keepLines w:val="0"/>
        <w:widowControl w:val="1"/>
      </w:pPr>
      <w:r>
        <w:rPr>
          <w:rFonts w:ascii="Georgia" w:hAnsi="Georgia"/>
          <w:sz w:val="20"/>
        </w:rPr>
        <w:t xml:space="preserve">62.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100"/>
        <w:ind w:left="475" w:hanging="475"/>
        <w:jc w:val="left"/>
        <w:keepNext w:val="0"/>
        <w:keepLines w:val="0"/>
        <w:widowControl w:val="1"/>
      </w:pPr>
      <w:r>
        <w:rPr>
          <w:rFonts w:ascii="Georgia" w:hAnsi="Georgia"/>
          <w:sz w:val="20"/>
        </w:rPr>
        <w:t xml:space="preserve">63.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 37</w:t>
      </w:r>
      <w:r>
        <w:t xml:space="preserve">(1), 7. https://doi.org/10.1007/s10648-024-09983-x</w:t>
      </w:r>
    </w:p>
    <w:p>
      <w:pPr>
        <w:pStyle w:val="ReferenceEntry"/>
        <w:spacing w:after="100"/>
        <w:ind w:left="475" w:hanging="475"/>
        <w:jc w:val="left"/>
        <w:keepNext w:val="0"/>
        <w:keepLines w:val="0"/>
        <w:widowControl w:val="1"/>
      </w:pPr>
      <w:r>
        <w:rPr>
          <w:rFonts w:ascii="Georgia" w:hAnsi="Georgia"/>
          <w:sz w:val="20"/>
        </w:rPr>
        <w:t xml:space="preserve">64. </w:t>
      </w:r>
      <w:r>
        <w:t xml:space="preserve">Yao, G., &amp; Fan, L. (2025). Cognitive load scale for AI-assisted L2 writing: Scale development and validation.</w:t>
      </w:r>
      <w:r>
        <w:t xml:space="preserve"> </w:t>
      </w:r>
      <w:r>
        <w:rPr>
          <w:i/>
          <w:iCs/>
        </w:rPr>
        <w:t xml:space="preserve">Frontiers in Psychology, 16</w:t>
      </w:r>
      <w:r>
        <w:t xml:space="preserve">, 1666974. https://doi.org/10.3389/fpsyg.2025.1666974</w:t>
      </w:r>
    </w:p>
    <w:p>
      <w:pPr>
        <w:pStyle w:val="ReferenceEntry"/>
        <w:spacing w:after="100"/>
        <w:ind w:left="475" w:hanging="475"/>
        <w:jc w:val="left"/>
        <w:keepNext w:val="0"/>
        <w:keepLines w:val="0"/>
        <w:widowControl w:val="1"/>
      </w:pPr>
      <w:r>
        <w:rPr>
          <w:rFonts w:ascii="Georgia" w:hAnsi="Georgia"/>
          <w:sz w:val="20"/>
        </w:rPr>
        <w:t xml:space="preserve">65.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 56</w:t>
      </w:r>
      <w:r>
        <w:t xml:space="preserve">(4), 1–17. https://doi.org/10.1111/bjet.13494</w:t>
      </w:r>
    </w:p>
    <w:p>
      <w:pPr>
        <w:pStyle w:val="ReferenceEntry"/>
        <w:spacing w:after="100"/>
        <w:ind w:left="475" w:hanging="475"/>
        <w:jc w:val="left"/>
        <w:keepNext w:val="0"/>
        <w:keepLines w:val="0"/>
        <w:widowControl w:val="1"/>
      </w:pPr>
      <w:r>
        <w:rPr>
          <w:rFonts w:ascii="Georgia" w:hAnsi="Georgia"/>
          <w:sz w:val="20"/>
        </w:rPr>
        <w:t xml:space="preserve">66. </w:t>
      </w:r>
      <w:r>
        <w:t xml:space="preserve">Zimmerman, B. J. (2000). Attaining self-regulation: A social cognitive perspective.</w:t>
      </w:r>
      <w:r>
        <w:t xml:space="preserve"> </w:t>
      </w:r>
      <w:r>
        <w:rPr>
          <w:i/>
          <w:iCs/>
        </w:rPr>
        <w:t xml:space="preserve">Handbook of Self-Regulation</w:t>
      </w:r>
      <w:r>
        <w:t xml:space="preserve">, 13–39.</w:t>
      </w:r>
    </w:p>
    <w:bookmarkEnd w:id="40"/>
    <w:bookmarkEnd w:id="4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30" Type="http://schemas.openxmlformats.org/officeDocument/2006/relationships/image" Target="media/rId3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2026-07-07T08:30:08Z</dcterms:created>
  <dcterms:modified xsi:type="dcterms:W3CDTF">2026-07-07T08:30:08Z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