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material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Supplementary Material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iCs/>
          <w:sz w:val="20"/>
        </w:rPr>
        <w:t xml:space="preserve">Supplementary Material for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"Beyond Prompting: Framing, Judging, and Steering as Assessable Competencies for Reasoning With Generative AI in Higher Education."</w:t>
      </w:r>
    </w:p>
    <w:bookmarkStart w:id="18" w:name="Xd731927fe112efe1edcedf5385efb1700e7c07f"/>
    <w:p>
      <w:pPr>
        <w:pStyle w:val="Heading2"/>
        <w:keepNext/>
        <w:keepLines/>
        <w:widowControl w:val="1"/>
      </w:pPr>
      <w:r>
        <w:t xml:space="preserve">1.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786207"/>
            <wp:effectExtent b="0" l="0" r="0" t="0"/>
            <wp:docPr descr="Figure A1. A CoReasoningLab challenge run." title="" id="10" name="Picture"/>
            <a:graphic>
              <a:graphicData uri="http://schemas.openxmlformats.org/drawingml/2006/picture">
                <pic:pic>
                  <pic:nvPicPr>
                    <pic:cNvPr descr="assets/system-challenge-ru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6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A1.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a learner's challenge run at the Framing phase. The engine has generated an ill-defined problem (here, an AI hiring-screening task), and the learner specifies refinements before any solution is produced. The two-phase structure is explicit in the interface, Phase 1 (Framing) and Phase 2 (the Judge-Steer cycle), and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412672"/>
            <wp:effectExtent b="0" l="0" r="0" t="0"/>
            <wp:docPr descr="Figure A2. CoReasoningLab instructor course analytics." title="" id="13" name="Picture"/>
            <a:graphic>
              <a:graphicData uri="http://schemas.openxmlformats.org/drawingml/2006/picture">
                <pic:pic>
                  <pic:nvPicPr>
                    <pic:cNvPr descr="assets/system-instructor-analyt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A2.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the instructor course-analytics view. Grade distribution is broken out into separate Framing, Judging, and Steering panels, and the per-student results list the three skills as distinct columns, the interface-level expression of 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002832"/>
            <wp:effectExtent b="0" l="0" r="0" t="0"/>
            <wp:docPr descr="Figure A3. Auto-generation and assessment pipeline of the CoReasoningLab engine." title="" id="16" name="Picture"/>
            <a:graphic>
              <a:graphicData uri="http://schemas.openxmlformats.org/drawingml/2006/picture">
                <pic:pic>
                  <pic:nvPicPr>
                    <pic:cNvPr descr="E:/tmp/html2doc_svg_2IjJNl/svg_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A3.</w:t>
      </w:r>
      <w:r>
        <w:rPr>
          <w:b w:val="0"/>
          <w:i/>
        </w:rPr>
        <w:t xml:space="preserve"> </w:t>
      </w:r>
      <w:r>
        <w:rPr>
          <w:b w:val="0"/>
          <w:i/>
        </w:rPr>
        <w:t>The sixteen-prompt engine in two phases. In authoring, the instructor names a subject and the engine generates the ill-defined problem (prompt 01), three per-skill rubrics and a gold framing (02, 14), and a deliberately flawed AI solution carrying seeded issues (03). In assessment, each learner response is scored against a different referent: Framing against the gold framing and rubric (08), Judging against the seeded issues (09), and Steering against the corrected trajectory after the output is re-run (04, 10); a single grader prompt (11) then assigns each skill its own grade, and the three feed the per-student report and course analytics. Because the three evaluation prompts interrogate different referents, the grades are produced independently rather than as one global impression.</w:t>
      </w:r>
    </w:p>
    <w:bookmarkEnd w:id="18"/>
    <w:bookmarkStart w:id="19" w:name="X172263cace3c3e7541464a413a91e8a3f874842"/>
    <w:p>
      <w:pPr>
        <w:pStyle w:val="Heading2"/>
        <w:keepNext/>
        <w:keepLines/>
        <w:widowControl w:val="1"/>
      </w:pPr>
      <w:r>
        <w:t xml:space="preserve">2.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9.3).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9.3 specifies.</w:t>
      </w:r>
    </w:p>
    <w:bookmarkEnd w:id="19"/>
    <w:bookmarkStart w:id="20" w:name="Xaa4be1d615ab66697a9585f351baef3e019719d"/>
    <w:p>
      <w:pPr>
        <w:pStyle w:val="Heading2"/>
        <w:keepNext/>
        <w:keepLines/>
        <w:widowControl w:val="1"/>
      </w:pPr>
      <w:r>
        <w:t xml:space="preserve">3. Cross-disciplinary challenge showcase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and the platform are domain-general. An ill-defined problem with seeded flaws, three</w:t>
      </w:r>
      <w:r>
        <w:t xml:space="preserve"> </w:t>
      </w:r>
      <w:r>
        <w:t xml:space="preserve">per-skill rubrics, and a deliberately-imperfect AI solution can be generated for any subject, because</w:t>
      </w:r>
      <w:r>
        <w:t xml:space="preserve"> </w:t>
      </w:r>
      <w:r>
        <w:t xml:space="preserve">each is produced by a prompt that an educator parameterizes with a course and topic. The released</w:t>
      </w:r>
      <w:r>
        <w:t xml:space="preserve"> </w:t>
      </w:r>
      <w:r>
        <w:t xml:space="preserve">platform ships challenge content across twelve disciplines (Table C1) spanning STEM, the social</w:t>
      </w:r>
      <w:r>
        <w:t xml:space="preserve"> </w:t>
      </w:r>
      <w:r>
        <w:t xml:space="preserve">sciences, the humanities, law, and professional and education fields. CoReasoningLab is in this sense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C1.</w:t>
      </w:r>
      <w:r>
        <w:rPr>
          <w:b w:val="0"/>
          <w:i/>
        </w:rPr>
        <w:t xml:space="preserve"> </w:t>
      </w:r>
      <w:r>
        <w:rPr>
          <w:b w:val="0"/>
          <w:i/>
        </w:rPr>
        <w:t>Disciplines covered by the released challenge content.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Area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Disciplines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STEM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Computer Science (algorithms); Physics (classical mechanics); Mathematics (linear algebra); Electrical Engineering (signal processing); Biology (molecular biology)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Social sciences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Economics (microeconomics); Political Science (international relations); Psychology (cognitive psychology)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Humanities and law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Philosophy (applied ethics); Law (constitutional law)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Professional and education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Business (organizational behavior); Education (educational technology)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four examples below are real ill-defined problems the platform generated, in applied ethics,</w:t>
      </w:r>
      <w:r>
        <w:t xml:space="preserve"> </w:t>
      </w:r>
      <w:r>
        <w:t xml:space="preserve">physics, instructional design, and computing, each of which a learner must Frame before the AI produces</w:t>
      </w:r>
      <w:r>
        <w:t xml:space="preserve"> </w:t>
      </w:r>
      <w:r>
        <w:t xml:space="preserve">a flawed solution to Judge and Steer: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Applied ethics.</w:t>
      </w:r>
      <w:r>
        <w:t xml:space="preserve"> </w:t>
      </w:r>
      <w:r>
        <w:t xml:space="preserve">"As a member of the AI Ethics Committee at a technology company, you have been tasked with developing a set of ethical guidelines for the deployment of a new AI system."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Physics.</w:t>
      </w:r>
      <w:r>
        <w:t xml:space="preserve"> </w:t>
      </w:r>
      <w:r>
        <w:t xml:space="preserve">"As part of a project for a local amusement park, design a new ride that involves a projectile-motion component, and analyze the outcomes."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Instructional design (education).</w:t>
      </w:r>
      <w:r>
        <w:t xml:space="preserve"> </w:t>
      </w:r>
      <w:r>
        <w:t xml:space="preserve">"Our organization is developing a new training program on effective communication skills. Design a backward lesson plan."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Computer science.</w:t>
      </w:r>
      <w:r>
        <w:t xml:space="preserve"> </w:t>
      </w:r>
      <w:r>
        <w:t xml:space="preserve">"Our company is building a navigation app. Design an algorithm that computes the shortest path between two locations on a road network with varying travel speeds, possible road closures, and concurrent route requests."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deliberate gaps differ by discipline (a missing fairness criterion in the ethics task, an unstated</w:t>
      </w:r>
      <w:r>
        <w:t xml:space="preserve"> </w:t>
      </w:r>
      <w:r>
        <w:t xml:space="preserve">launch or safety constraint in the physics task, undefined learning objectives in the lesson-plan task),</w:t>
      </w:r>
      <w:r>
        <w:t xml:space="preserve"> </w:t>
      </w:r>
      <w:r>
        <w:t xml:space="preserve">but the learner's work is identical across all of them: specify the task (Framing), evaluate the AI's</w:t>
      </w:r>
      <w:r>
        <w:t xml:space="preserve"> </w:t>
      </w:r>
      <w:r>
        <w:t xml:space="preserve">flawed solution (Judging), and redirect it toward an adequate one (Steering). Full per-discipline session</w:t>
      </w:r>
      <w:r>
        <w:t xml:space="preserve"> </w:t>
      </w:r>
      <w:r>
        <w:t xml:space="preserve">logs ship with the platform.</w:t>
      </w:r>
    </w:p>
    <w:bookmarkEnd w:id="20"/>
    <w:bookmarkEnd w:id="2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2026-07-07T08:30:13Z</dcterms:created>
  <dcterms:modified xsi:type="dcterms:W3CDTF">2026-07-07T08:30:13Z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