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LCsAb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LCsAb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its interface is bilingual (English and Hebrew), and it supports both</w:t>
      </w:r>
      <w:r>
        <w:t xml:space="preserve"> </w:t>
      </w:r>
      <w:r>
        <w:t xml:space="preserve">practice and assessment modes and both multiple-choice and open-ended response formats per phase. All</w:t>
      </w:r>
      <w:r>
        <w:t xml:space="preserve"> </w:t>
      </w:r>
      <w:r>
        <w:t xml:space="preserve">challenges evaluated in this paper are English-language (Section 11); the bilingual interface is not a</w:t>
      </w:r>
      <w:r>
        <w:t xml:space="preserve"> </w:t>
      </w:r>
      <w:r>
        <w:t xml:space="preserve">claim of validated cross-language scoring.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learners whose competences share a single latent level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when competences are independent, convergent when they are shared).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LCsAb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tLCsAb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2026-06-02T05:43:36Z</dcterms:created>
  <dcterms:modified xsi:type="dcterms:W3CDTF">2026-06-02T05:43:36Z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