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in Computers &amp; Education: AI on whether learners can evaluate AI output quality as experts do.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2), a student enters a</w:t>
      </w:r>
      <w:r>
        <w:t xml:space="preserve"> </w:t>
      </w:r>
      <w:r>
        <w:t xml:space="preserve">challenge run that walks through the framework’s two phases (Figure 3):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4)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two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 and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−0.02</w:t>
      </w:r>
      <w:r>
        <w:t xml:space="preserve">, a ratio of roughly</w:t>
      </w:r>
      <w:r>
        <w:t xml:space="preserve"> </w:t>
      </w:r>
      <w:r>
        <w:rPr>
          <w:b/>
          <w:bCs/>
        </w:rPr>
        <w:t xml:space="preserve">60 to 1</w:t>
      </w:r>
      <w:r>
        <w:t xml:space="preserve">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rather than an exploratory factor</w:t>
      </w:r>
      <w:r>
        <w:t xml:space="preserve"> </w:t>
      </w:r>
      <w:r>
        <w:t xml:space="preserve">analysis. Steering shows the weakest own-effect, consistent with Proposition P2 (steering quality is</w:t>
      </w:r>
      <w:r>
        <w:t xml:space="preserve"> </w:t>
      </w:r>
      <w:r>
        <w:t xml:space="preserve">bounded, and partly confounded, by the judging it follows).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(Anonymous, 2025), so automated grades must be validated against humans rather than assumed reliable. We have prepared this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The</w:t>
      </w:r>
      <w:r>
        <w:t xml:space="preserve"> </w:t>
      </w:r>
      <w:r>
        <w:t xml:space="preserve">instrument is exercised with a single model family (llama-3.3-70b) on English-language challenges, and</w:t>
      </w:r>
      <w:r>
        <w:t xml:space="preserve"> </w:t>
      </w:r>
      <w:r>
        <w:t xml:space="preserve">the 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49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(43 entries, validated). See the repository for the BibTeX source.]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2026-06-01T06:27:48Z</dcterms:created>
  <dcterms:modified xsi:type="dcterms:W3CDTF">2026-06-01T06:27:48Z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