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AI use succeeds or fails. We propose</w:t>
      </w:r>
      <w:r>
        <w:t xml:space="preserve"> </w:t>
      </w:r>
      <w:r>
        <w:rPr>
          <w:b/>
          <w:bCs/>
        </w:rPr>
        <w:t xml:space="preserve">CoRe-3</w:t>
      </w:r>
      <w:r>
        <w:t xml:space="preserve"> </w:t>
      </w:r>
      <w:r>
        <w:t xml:space="preserve">(Co-Reasoning), a competency model factoring productive AI use into three assessable skills we abbreviate</w:t>
      </w:r>
      <w:r>
        <w:t xml:space="preserve"> </w:t>
      </w:r>
      <w:r>
        <w:rPr>
          <w:b/>
          <w:bCs/>
        </w:rPr>
        <w:t xml:space="preserve">FJS</w:t>
      </w:r>
      <w:r>
        <w:t xml:space="preserve">:</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CoReasoningLab</w:t>
      </w:r>
      <w:r>
        <w:t xml:space="preserve">, an open platform that presents flawed AI output and scores them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next; we release the instrument, data, and protocol.</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A075fu/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CoRe-3 is a decomposition and assessment of that shifting contribution.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We propose</w:t>
      </w:r>
      <w:r>
        <w:t xml:space="preserve"> </w:t>
      </w:r>
      <w:r>
        <w:rPr>
          <w:b/>
          <w:bCs/>
        </w:rPr>
        <w:t xml:space="preserve">CoRe-3</w:t>
      </w:r>
      <w:r>
        <w:t xml:space="preserve"> </w:t>
      </w:r>
      <w:r>
        <w:t xml:space="preserve">(Co-Reasoning), a competency model that decomposes productive work with generative AI into</w:t>
      </w:r>
      <w:r>
        <w:t xml:space="preserve"> </w:t>
      </w:r>
      <w:r>
        <w:t xml:space="preserve">three distinct skills, each independently assessable and collectively abbreviated</w:t>
      </w:r>
      <w:r>
        <w:t xml:space="preserve"> </w:t>
      </w:r>
      <w:r>
        <w:rPr>
          <w:b/>
          <w:bCs/>
        </w:rPr>
        <w:t xml:space="preserve">FJS</w:t>
      </w:r>
      <w:r>
        <w:t xml:space="preserv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each skill carries an explicit theoretical</w:t>
      </w:r>
      <w:r>
        <w:t xml:space="preserve"> </w:t>
      </w:r>
      <w:r>
        <w:t xml:space="preserve">warrant.</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proposing new relationships among the constructs (Gilson &amp; Goldberg, 2015;</w:t>
      </w:r>
      <w:r>
        <w:t xml:space="preserve"> </w:t>
      </w:r>
      <w:r>
        <w:t xml:space="preserve">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delineating what the model contributes beyond each.</w:t>
      </w:r>
    </w:p>
    <w:p>
      <w:pPr>
        <w:pStyle w:val="Compact"/>
        <w:numPr>
          <w:ilvl w:val="0"/>
          <w:numId w:val="1002"/>
        </w:numPr>
        <w:ind w:left="360" w:hanging="259"/>
        <w:jc w:val="both"/>
        <w:keepNext w:val="0"/>
        <w:keepLines w:val="0"/>
        <w:widowControl w:val="1"/>
      </w:pPr>
      <w:r>
        <w:rPr>
          <w:b/>
          <w:bCs/>
        </w:rPr>
        <w:t xml:space="preserve">An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three skills are separately measurable and genuinely distinct.</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9.3).</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CoRe-3 addresses.</w:t>
      </w:r>
    </w:p>
    <w:bookmarkEnd w:id="14"/>
    <w:bookmarkStart w:id="21" w:name="X49d7beb9babb458bb4a3c64984f644552ecde42"/>
    <w:p>
      <w:pPr>
        <w:pStyle w:val="Heading2"/>
        <w:keepNext/>
        <w:keepLines/>
        <w:widowControl w:val="1"/>
      </w:pPr>
      <w:r>
        <w:t xml:space="preserve">3. The CoRe-3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FJS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CoRe-3,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3 architecture." title="" id="16" name="Picture"/>
            <a:graphic>
              <a:graphicData uri="http://schemas.openxmlformats.org/drawingml/2006/picture">
                <pic:pic>
                  <pic:nvPicPr>
                    <pic:cNvPr descr="C:/Users/apart/AppData/Local/Temp/html2doc_svg_A075fu/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CoRe-3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CoRe-3's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CoRe-3's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9.3),</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CoRe-3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CoRe-3's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CoRe-3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CoRe-3 rejects. Treating them</w:t>
      </w:r>
      <w:r>
        <w:t xml:space="preserve"> </w:t>
      </w:r>
      <w:r>
        <w:t xml:space="preserve">separately is consequential: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CoRe-3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CoRe-3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Where prior frameworks place the three FJS skills (Framing, Judging, Steering).</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"continuous dialogue"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CoRe-3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CoRe-3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CoRe-3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CoRe-3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contribution is the</w:t>
      </w:r>
      <w:r>
        <w:t xml:space="preserve"> </w:t>
      </w:r>
      <w:r>
        <w:rPr>
          <w:i/>
          <w:iCs/>
        </w:rPr>
        <w:t xml:space="preserve">separation</w:t>
      </w:r>
      <w:r>
        <w:t xml:space="preserve"> </w:t>
      </w:r>
      <w:r>
        <w:t xml:space="preserve">itself, which is both theoretically motivated</w:t>
      </w:r>
      <w:r>
        <w:t xml:space="preserve"> </w:t>
      </w:r>
      <w:r>
        <w:t xml:space="preserve">(monitor-control plus an upstream task definition) and empirically consequential (the skills can be</w:t>
      </w:r>
      <w:r>
        <w:t xml:space="preserve"> </w:t>
      </w:r>
      <w:r>
        <w:t xml:space="preserve">measured apart).</w:t>
      </w:r>
    </w:p>
    <w:bookmarkEnd w:id="24"/>
    <w:bookmarkStart w:id="26" w:name="Xb469208b37f38982902a67bd55b39b9d5195787"/>
    <w:p>
      <w:pPr>
        <w:pStyle w:val="Heading2"/>
        <w:keepNext/>
        <w:keepLines/>
        <w:widowControl w:val="1"/>
      </w:pPr>
      <w:r>
        <w:t xml:space="preserve">7. The CoReasoningLab system</w:t>
      </w:r>
    </w:p>
    <w:p>
      <w:pPr>
        <w:pStyle w:val="FirstParagraph"/>
        <w:jc w:val="both"/>
        <w:keepNext w:val="0"/>
        <w:keepLines w:val="0"/>
        <w:widowControl w:val="1"/>
      </w:pPr>
      <w:r>
        <w:t xml:space="preserve">The framework is instantiated in</w:t>
      </w:r>
      <w:r>
        <w:t xml:space="preserve"> </w:t>
      </w:r>
      <w:r>
        <w:rPr>
          <w:i/>
          <w:iCs/>
        </w:rPr>
        <w:t xml:space="preserve">CoReasoningLab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9.2),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Start w:id="25" w:name="Xda76768f9859ddfff08169db8cdc74bf43af05b"/>
    <w:p>
      <w:pPr>
        <w:pStyle w:val="Heading3"/>
        <w:keepNext/>
        <w:keepLines/>
        <w:widowControl w:val="1"/>
      </w:pPr>
      <w:r>
        <w:t xml:space="preserve">7.1 Operationalization: the assessment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CoRe-3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9.3</w:t>
      </w:r>
      <w:r>
        <w:t xml:space="preserve"> </w:t>
      </w:r>
      <w:r>
        <w:t xml:space="preserve">addresses.</w:t>
      </w:r>
    </w:p>
    <w:bookmarkEnd w:id="25"/>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9.3).</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9.2).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rPr>
                  <m:sty m:val="p"/>
                </m:rPr>
                <m:t>|</m:t>
              </m:r>
              <m:r>
                <m:t>ρ</m:t>
              </m:r>
              <m:r>
                <m:rPr>
                  <m:sty m:val="p"/>
                </m:rPr>
                <m:t>|</m:t>
              </m:r>
            </m:oMath>
            <w:r>
              <w:rPr>
                <w:rFonts w:ascii="Georgia" w:hAnsi="Georgia"/>
                <w:sz w:val="19"/>
              </w:rPr>
              <w:t xml:space="preserve"> </w:t>
            </w:r>
            <w:r>
              <w:rPr>
                <w:rFonts w:ascii="Georgia" w:hAnsi="Georgia"/>
                <w:sz w:val="19"/>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t>ρ</m:t>
              </m:r>
            </m:oMath>
            <w:r>
              <w:rPr>
                <w:rFonts w:ascii="Georgia" w:hAnsi="Georgia"/>
                <w:sz w:val="19"/>
              </w:rPr>
              <w:t xml:space="preserve"> </w:t>
            </w:r>
            <w:r>
              <w:rPr>
                <w:rFonts w:ascii="Georgia" w:hAnsi="Georgia"/>
                <w:sz w:val="19"/>
              </w:rPr>
              <w:t xml:space="preserve">= +0.41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2984601" cy="2507064"/>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2984601" cy="250706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9.3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9.3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7" w:name="X7c81bf03759b1b00759d96e3a328e2270cfccbb"/>
    <w:p>
      <w:pPr>
        <w:pStyle w:val="Heading2"/>
        <w:keepNext/>
        <w:keepLines/>
        <w:widowControl w:val="1"/>
      </w:pPr>
      <w:r>
        <w:t xml:space="preserve">9. Discussion</w:t>
      </w:r>
    </w:p>
    <w:p>
      <w:pPr>
        <w:pStyle w:val="FirstParagraph"/>
        <w:jc w:val="both"/>
        <w:keepNext w:val="0"/>
        <w:keepLines w:val="0"/>
        <w:widowControl w:val="1"/>
      </w:pPr>
      <w:r>
        <w:t xml:space="preserve">The feasibility demonstration establishes that the three skills are separable and automatically scoreable; this section reconciles the tensions the framework raises, bounds the present evidence, and specifies the validation program it invites.</w:t>
      </w:r>
    </w:p>
    <w:bookmarkStart w:id="34" w:name="X9cd38e1771607e53b4b4a0356b4c74bde46c9a2"/>
    <w:p>
      <w:pPr>
        <w:pStyle w:val="Heading3"/>
        <w:keepNext/>
        <w:keepLines/>
        <w:widowControl w:val="1"/>
      </w:pPr>
      <w:r>
        <w:t xml:space="preserve">9.1 Tensions the framework reconciles</w:t>
      </w:r>
    </w:p>
    <w:p>
      <w:pPr>
        <w:pStyle w:val="FirstParagraph"/>
        <w:jc w:val="both"/>
        <w:keepNext w:val="0"/>
        <w:keepLines w:val="0"/>
        <w:widowControl w:val="1"/>
      </w:pPr>
      <w:r>
        <w:t xml:space="preserve">Four tensions bear on the framework, each with a resolution within it.</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CoRe-3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9.3.</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a9110b14b39a15f11efd4a7059397e4d3b338cc"/>
    <w:p>
      <w:pPr>
        <w:pStyle w:val="Heading3"/>
        <w:keepNext/>
        <w:keepLines/>
        <w:widowControl w:val="1"/>
      </w:pPr>
      <w:r>
        <w:t xml:space="preserve">9.2 Scope and boundary conditions</w:t>
      </w:r>
    </w:p>
    <w:p>
      <w:pPr>
        <w:pStyle w:val="FirstParagraph"/>
        <w:jc w:val="both"/>
        <w:keepNext w:val="0"/>
        <w:keepLines w:val="0"/>
        <w:widowControl w:val="1"/>
      </w:pPr>
      <w:r>
        <w:t xml:space="preserve">This is a conceptual contribution with a working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9.3.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9.3).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9.3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5"/>
    <w:bookmarkStart w:id="36" w:name="Xf6895654d04db058866422aa3d66bea4a80775b"/>
    <w:p>
      <w:pPr>
        <w:pStyle w:val="Heading3"/>
        <w:keepNext/>
        <w:keepLines/>
        <w:widowControl w:val="1"/>
      </w:pPr>
      <w:r>
        <w:t xml:space="preserve">9.3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6"/>
    <w:bookmarkEnd w:id="37"/>
    <w:bookmarkStart w:id="38" w:name="Xc72408c88f6aa3f318e9c4f077d22b48a39071f"/>
    <w:p>
      <w:pPr>
        <w:pStyle w:val="Heading2"/>
        <w:keepNext/>
        <w:keepLines/>
        <w:widowControl w:val="1"/>
      </w:pPr>
      <w:r>
        <w:t xml:space="preserve">10.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CoRe-3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8"/>
    <w:bookmarkStart w:id="39"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18"/>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18"/>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18"/>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18"/>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18"/>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18"/>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18"/>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18"/>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18"/>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18"/>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18"/>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18"/>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18"/>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18"/>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18"/>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18"/>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18"/>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18"/>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18"/>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18"/>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18"/>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18"/>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18"/>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18"/>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18"/>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18"/>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18"/>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18"/>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18"/>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18"/>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18"/>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18"/>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18"/>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18"/>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18"/>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18"/>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18"/>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18"/>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18"/>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18"/>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18"/>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18"/>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18"/>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18"/>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18"/>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18"/>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18"/>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18"/>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18"/>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18"/>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18"/>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18"/>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18"/>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18"/>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18"/>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18"/>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18"/>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18"/>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18"/>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18"/>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18"/>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18"/>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18"/>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18"/>
        </w:rPr>
        <w:t xml:space="preserve">66. </w:t>
      </w:r>
      <w:r>
        <w:t xml:space="preserve">UNESCO (2024). AI Competency Framework for Students.</w:t>
      </w:r>
      <w:r>
        <w:t xml:space="preserve"> </w:t>
      </w:r>
      <w:r>
        <w:rPr>
          <w:i/>
          <w:iCs/>
        </w:rPr>
        <w:t xml:space="preserve">UNESCO</w:t>
      </w:r>
      <w:r>
        <w:t xml:space="preserve">.</w:t>
      </w:r>
    </w:p>
    <w:bookmarkEnd w:id="39"/>
    <w:bookmarkStart w:id="49"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2984601" cy="2403411"/>
            <wp:effectExtent b="0" l="0" r="0" t="0"/>
            <wp:docPr descr="Figure A1. A CoReasoningLab challenge run." title="" id="41" name="Picture"/>
            <a:graphic>
              <a:graphicData uri="http://schemas.openxmlformats.org/drawingml/2006/picture">
                <pic:pic>
                  <pic:nvPicPr>
                    <pic:cNvPr descr="assets/system-challenge-run.png" id="42" name="Picture"/>
                    <pic:cNvPicPr>
                      <a:picLocks noChangeArrowheads="1" noChangeAspect="1"/>
                    </pic:cNvPicPr>
                  </pic:nvPicPr>
                  <pic:blipFill>
                    <a:blip r:embed="rId40"/>
                    <a:stretch>
                      <a:fillRect/>
                    </a:stretch>
                  </pic:blipFill>
                  <pic:spPr bwMode="auto">
                    <a:xfrm>
                      <a:off x="0" y="0"/>
                      <a:ext cx="2984601" cy="24034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2984601" cy="2215840"/>
            <wp:effectExtent b="0" l="0" r="0" t="0"/>
            <wp:docPr descr="Figure A2. CoReasoningLab instructor course analytics." title="" id="44" name="Picture"/>
            <a:graphic>
              <a:graphicData uri="http://schemas.openxmlformats.org/drawingml/2006/picture">
                <pic:pic>
                  <pic:nvPicPr>
                    <pic:cNvPr descr="assets/system-instructor-analytics.png" id="45" name="Picture"/>
                    <pic:cNvPicPr>
                      <a:picLocks noChangeArrowheads="1" noChangeAspect="1"/>
                    </pic:cNvPicPr>
                  </pic:nvPicPr>
                  <pic:blipFill>
                    <a:blip r:embed="rId43"/>
                    <a:stretch>
                      <a:fillRect/>
                    </a:stretch>
                  </pic:blipFill>
                  <pic:spPr bwMode="auto">
                    <a:xfrm>
                      <a:off x="0" y="0"/>
                      <a:ext cx="2984601" cy="22158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310742"/>
            <wp:effectExtent b="0" l="0" r="0" t="0"/>
            <wp:docPr descr="Figure A3. Auto-generation and assessment pipeline of the CoReasoningLab engine." title="" id="47" name="Picture"/>
            <a:graphic>
              <a:graphicData uri="http://schemas.openxmlformats.org/drawingml/2006/picture">
                <pic:pic>
                  <pic:nvPicPr>
                    <pic:cNvPr descr="C:/Users/apart/AppData/Local/Temp/html2doc_svg_A075fu/svg_2.png" id="48" name="Picture"/>
                    <pic:cNvPicPr>
                      <a:picLocks noChangeArrowheads="1" noChangeAspect="1"/>
                    </pic:cNvPicPr>
                  </pic:nvPicPr>
                  <pic:blipFill>
                    <a:blip r:embed="rId46"/>
                    <a:stretch>
                      <a:fillRect/>
                    </a:stretch>
                  </pic:blipFill>
                  <pic:spPr bwMode="auto">
                    <a:xfrm>
                      <a:off x="0" y="0"/>
                      <a:ext cx="6400800" cy="43107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9"/>
    <w:bookmarkStart w:id="50"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9.3).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9.3 specifies.</w:t>
      </w:r>
    </w:p>
    <w:bookmarkEnd w:id="50"/>
    <w:bookmarkStart w:id="51"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STEM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Social sciences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Economics (microeconomics); Political Science (international relations); Psychology (cognitive psychology)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Humanities and law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Philosophy (applied ethics); Law (constitutional law)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Professional and education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Business (organizational behavior); Education (educational technology)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51"/>
    <w:bookmarkEnd w:id="52"/>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6" Type="http://schemas.openxmlformats.org/officeDocument/2006/relationships/image" Target="media/rId46.png"/><Relationship Id="rId30" Type="http://schemas.openxmlformats.org/officeDocument/2006/relationships/image" Target="media/rId30.png"/><Relationship Id="rId27" Type="http://schemas.openxmlformats.org/officeDocument/2006/relationships/image" Target="media/rId27.png"/><Relationship Id="rId40" Type="http://schemas.openxmlformats.org/officeDocument/2006/relationships/image" Target="media/rId40.png"/><Relationship Id="rId43" Type="http://schemas.openxmlformats.org/officeDocument/2006/relationships/image" Target="media/rId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2026-06-03T11:00:13Z</dcterms:created>
  <dcterms:modified xsi:type="dcterms:W3CDTF">2026-06-03T11:00:13Z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