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4"/>
        <w:gridCol w:w="3341"/>
        <w:gridCol w:w="1186"/>
        <w:gridCol w:w="1158"/>
        <w:gridCol w:w="929"/>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03"/>
        <w:gridCol w:w="3471"/>
        <w:gridCol w:w="2684"/>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S10.</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Supplementary Section D.9</w:t>
        </w:r>
      </w:hyperlink>
      <w:r>
        <w:t xml:space="preserve">; the SC-gradient sweep and the heuristic-vs-literature sensitivity-head ablation (Supplementary Section B.2) are in</w:t>
      </w:r>
      <w:r>
        <w:t xml:space="preserve"> </w:t>
      </w:r>
      <w:hyperlink w:anchor="sec-app">
        <w:r>
          <w:rPr>
            <w:rStyle w:val="Hyperlink"/>
          </w:rPr>
          <w:t xml:space="preserve">Supplementary Section D.6</w:t>
        </w:r>
      </w:hyperlink>
      <w:r>
        <w:t xml:space="preserve">.</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Supplementary Section D.6</w:t>
        </w:r>
      </w:hyperlink>
      <w:r>
        <w:t xml:space="preserve">.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