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w:t>
      </w:r>
      <w:r>
        <w:rPr>
          <w:sz w:val="20"/>
        </w:rPr>
        <w:t xml:space="preserve">These authors contributed equally to this work.</w:t>
      </w:r>
    </w:p>
    <w:p>
      <w:pPr>
        <w:pStyle w:val="BodyText"/>
        <w:jc w:val="both"/>
        <w:keepNext w:val="0"/>
        <w:keepLines w:val="0"/>
        <w:widowControl w:val="1"/>
      </w:pPr>
      <w:r>
        <w:rPr>
          <w:vertAlign w:val="superscript"/>
        </w:rPr>
        <w:t xml:space="preserve">1</w:t>
      </w:r>
      <w:r>
        <w:t xml:space="preserve">Department of Intelligent Systems, Afeka Tel-Aviv College of Engineering, Israel.</w:t>
      </w:r>
      <w:r>
        <w:br/>
      </w:r>
      <w:r>
        <w:rPr>
          <w:vertAlign w:val="superscript"/>
        </w:rPr>
        <w:t xml:space="preserve">2</w:t>
      </w:r>
      <w:r>
        <w:t xml:space="preserve">School of Computer Science, Faculty of Sciences, HIT–Holon Institute of Technology, Israel.</w:t>
      </w:r>
    </w:p>
    <w:p>
      <w:pPr>
        <w:pStyle w:val="BodyText"/>
        <w:jc w:val="both"/>
        <w:keepNext w:val="0"/>
        <w:keepLines w:val="0"/>
        <w:widowControl w:val="1"/>
      </w:pPr>
      <w:r>
        <w:t xml:space="preserve">Companion to the NMI Article (main article).</w:t>
      </w:r>
    </w:p>
    <w:bookmarkEnd w:id="9"/>
    <w:p>
      <w:pPr>
        <w:pStyle w:val="BodyText"/>
        <w:jc w:val="both"/>
        <w:keepNext w:val="0"/>
        <w:keepLines w:val="0"/>
        <w:widowControl w:val="1"/>
      </w:pPr>
      <w:r>
        <w:rPr>
          <w:b/>
          <w:bCs/>
        </w:rPr>
        <w:t xml:space="preserve">Scope.</w:t>
      </w:r>
      <w:r>
        <w:t xml:space="preserve"> </w:t>
      </w:r>
      <w:r>
        <w:t xml:space="preserve">This Supplementary Information accompanies the NMI Article</w:t>
      </w:r>
      <w:r>
        <w:t xml:space="preserve"> </w:t>
      </w:r>
      <w:r>
        <w:t xml:space="preserve">“Domain-gated latent diffusion discovers novel HMX-class energetic materials with</w:t>
      </w:r>
      <w:r>
        <w:t xml:space="preserve"> </w:t>
      </w:r>
      <w:r>
        <w:t xml:space="preserve">first-principles validation”. It provides reproducibility-grade detail beyond what</w:t>
      </w:r>
      <w:r>
        <w:t xml:space="preserve"> </w:t>
      </w:r>
      <w:r>
        <w:t xml:space="preserve">fits in Methods: full per-lead chemistry (Supplementary Table S1), dataset provenance</w:t>
      </w:r>
      <w:r>
        <w:t xml:space="preserve"> </w:t>
      </w:r>
      <w:r>
        <w:t xml:space="preserve">(Supplementary Note 1), complete hyperparameter tables (Supplementary Note 2),</w:t>
      </w:r>
      <w:r>
        <w:t xml:space="preserve"> </w:t>
      </w:r>
      <w:r>
        <w:t xml:space="preserve">full DFT computational protocol with uncertainty bounds (Supplementary Note 3),</w:t>
      </w:r>
      <w:r>
        <w:t xml:space="preserve"> </w:t>
      </w:r>
      <w:r>
        <w:t xml:space="preserve">reproducibility details and superseded ablations (Supplementary Note 4), baseline</w:t>
      </w:r>
      <w:r>
        <w:t xml:space="preserve"> </w:t>
      </w:r>
      <w:r>
        <w:t xml:space="preserve">implementation details (Supplementary Note 5), and the seven detailed guidance and</w:t>
      </w:r>
      <w:r>
        <w:t xml:space="preserve"> </w:t>
      </w:r>
      <w:r>
        <w:t xml:space="preserve">pool-fusion ablations whose headlines appear in main Fig. 5 (Supplementary</w:t>
      </w:r>
      <w:r>
        <w:t xml:space="preserve"> </w:t>
      </w:r>
      <w:r>
        <w:t xml:space="preserve">Note 6). All section, table, and figure references in this document are</w:t>
      </w:r>
      <w:r>
        <w:t xml:space="preserve"> </w:t>
      </w:r>
      <w:r>
        <w:t xml:space="preserve">SI-internal unless explicitly marked “main paper”. The reference list at the</w:t>
      </w:r>
      <w:r>
        <w:t xml:space="preserve"> </w:t>
      </w:r>
      <w:r>
        <w:t xml:space="preserve">end is reproduced from the main article so the SI reads standalone.</w:t>
      </w:r>
    </w:p>
    <w:p>
      <w:pPr>
        <w:pStyle w:val="BodyText"/>
        <w:jc w:val="both"/>
        <w:keepNext w:val="0"/>
        <w:keepLines w:val="0"/>
        <w:widowControl w:val="1"/>
      </w:pPr>
      <w:r>
        <w:rPr>
          <w:b/>
          <w:bCs/>
        </w:rPr>
        <w:t xml:space="preserve">What is not in this SI.</w:t>
      </w:r>
      <w:r>
        <w:t xml:space="preserve"> </w:t>
      </w:r>
      <w:r>
        <w:t xml:space="preserve">Raw DFT geometries, optimised electronic-structure</w:t>
      </w:r>
      <w:r>
        <w:t xml:space="preserve"> </w:t>
      </w:r>
      <w:r>
        <w:t xml:space="preserve">outputs, model checkpoints (LIMO encoder, two denoisers, score model at rounds 0/1/2),</w:t>
      </w:r>
      <w:r>
        <w:t xml:space="preserve"> </w:t>
      </w:r>
      <w:r>
        <w:t xml:space="preserve">the 918 self-distillation hard-negative latents, per-step training curves, and the</w:t>
      </w:r>
      <w:r>
        <w:t xml:space="preserve"> </w:t>
      </w:r>
      <w:r>
        <w:t xml:space="preserve">full labelled-master corpus are deposited on Zenodo</w:t>
      </w:r>
      <w:r>
        <w:t xml:space="preserve"> </w:t>
      </w:r>
      <w:r>
        <w:t xml:space="preserve">(</w:t>
      </w:r>
      <w:hyperlink r:id="rId10">
        <w:r>
          <w:rPr>
            <w:rStyle w:val="Hyperlink"/>
          </w:rPr>
          <w:t xml:space="preserve">10.5281/zenodo.19821953</w:t>
        </w:r>
      </w:hyperlink>
      <w:r>
        <w:t xml:space="preserve">, CC-BY-4.0).</w:t>
      </w:r>
      <w:r>
        <w:t xml:space="preserve"> </w:t>
      </w:r>
      <w:r>
        <w:t xml:space="preserve">All code is on GitHub (</w:t>
      </w:r>
      <w:hyperlink r:id="rId11">
        <w:r>
          <w:rPr>
            <w:rStyle w:val="Hyperlink"/>
          </w:rPr>
          <w:t xml:space="preserve">ApartsinProjects/DGLD4Energetic</w:t>
        </w:r>
      </w:hyperlink>
      <w:r>
        <w:t xml:space="preserve">, Apache-2.0).</w:t>
      </w:r>
    </w:p>
    <w:p>
      <w:pPr>
        <w:pStyle w:val="BodyText"/>
        <w:jc w:val="both"/>
        <w:keepNext w:val="0"/>
        <w:keepLines w:val="0"/>
        <w:widowControl w:val="1"/>
      </w:pPr>
      <w:r>
        <w:t xml:space="preserve">Supplementary contents</w:t>
      </w:r>
    </w:p>
    <w:p>
      <w:pPr>
        <w:pStyle w:val="Compact"/>
        <w:numPr>
          <w:ilvl w:val="0"/>
          <w:numId w:val="1001"/>
        </w:numPr>
        <w:jc w:val="both"/>
        <w:keepNext w:val="0"/>
        <w:keepLines w:val="0"/>
        <w:widowControl w:val="1"/>
      </w:pPr>
      <w:hyperlink w:anchor="si-table-s1">
        <w:r>
          <w:rPr>
            <w:rStyle w:val="Hyperlink"/>
          </w:rPr>
          <w:t xml:space="preserve">Supplementary Table S1: Twelve DFT-confirmed leads with canonical SMILES</w:t>
        </w:r>
      </w:hyperlink>
    </w:p>
    <w:p>
      <w:pPr>
        <w:pStyle w:val="Compact"/>
        <w:numPr>
          <w:ilvl w:val="0"/>
          <w:numId w:val="1001"/>
        </w:numPr>
        <w:jc w:val="both"/>
        <w:keepNext w:val="0"/>
        <w:keepLines w:val="0"/>
        <w:widowControl w:val="1"/>
      </w:pPr>
      <w:hyperlink w:anchor="si-note-1">
        <w:r>
          <w:rPr>
            <w:rStyle w:val="Hyperlink"/>
          </w:rPr>
          <w:t xml:space="preserve">Supplementary Note 1: Dataset details</w:t>
        </w:r>
      </w:hyperlink>
    </w:p>
    <w:p>
      <w:pPr>
        <w:pStyle w:val="Compact"/>
        <w:numPr>
          <w:ilvl w:val="0"/>
          <w:numId w:val="1001"/>
        </w:numPr>
        <w:jc w:val="both"/>
        <w:keepNext w:val="0"/>
        <w:keepLines w:val="0"/>
        <w:widowControl w:val="1"/>
      </w:pPr>
      <w:hyperlink w:anchor="si-note-2">
        <w:r>
          <w:rPr>
            <w:rStyle w:val="Hyperlink"/>
          </w:rPr>
          <w:t xml:space="preserve">Supplementary Note 2: Model architecture and hyperparameter values</w:t>
        </w:r>
      </w:hyperlink>
    </w:p>
    <w:p>
      <w:pPr>
        <w:pStyle w:val="Compact"/>
        <w:numPr>
          <w:ilvl w:val="0"/>
          <w:numId w:val="1001"/>
        </w:numPr>
        <w:jc w:val="both"/>
        <w:keepNext w:val="0"/>
        <w:keepLines w:val="0"/>
        <w:widowControl w:val="1"/>
      </w:pPr>
      <w:hyperlink w:anchor="si-note-3">
        <w:r>
          <w:rPr>
            <w:rStyle w:val="Hyperlink"/>
          </w:rPr>
          <w:t xml:space="preserve">Supplementary Note 3: First-principles audit (DFT) methodology and uncertainty bounds</w:t>
        </w:r>
      </w:hyperlink>
    </w:p>
    <w:p>
      <w:pPr>
        <w:pStyle w:val="Compact"/>
        <w:numPr>
          <w:ilvl w:val="0"/>
          <w:numId w:val="1001"/>
        </w:numPr>
        <w:jc w:val="both"/>
        <w:keepNext w:val="0"/>
        <w:keepLines w:val="0"/>
        <w:widowControl w:val="1"/>
      </w:pPr>
      <w:hyperlink w:anchor="si-note-4">
        <w:r>
          <w:rPr>
            <w:rStyle w:val="Hyperlink"/>
          </w:rPr>
          <w:t xml:space="preserve">Supplementary Note 4: Reproducibility details and superseded ablations</w:t>
        </w:r>
      </w:hyperlink>
    </w:p>
    <w:p>
      <w:pPr>
        <w:pStyle w:val="Compact"/>
        <w:numPr>
          <w:ilvl w:val="0"/>
          <w:numId w:val="1001"/>
        </w:numPr>
        <w:jc w:val="both"/>
        <w:keepNext w:val="0"/>
        <w:keepLines w:val="0"/>
        <w:widowControl w:val="1"/>
      </w:pPr>
      <w:hyperlink w:anchor="si-note-5">
        <w:r>
          <w:rPr>
            <w:rStyle w:val="Hyperlink"/>
          </w:rPr>
          <w:t xml:space="preserve">Supplementary Note 5: Baseline-method example outputs</w:t>
        </w:r>
      </w:hyperlink>
    </w:p>
    <w:p>
      <w:pPr>
        <w:pStyle w:val="Compact"/>
        <w:numPr>
          <w:ilvl w:val="0"/>
          <w:numId w:val="1001"/>
        </w:numPr>
        <w:jc w:val="both"/>
        <w:keepNext w:val="0"/>
        <w:keepLines w:val="0"/>
        <w:widowControl w:val="1"/>
      </w:pPr>
      <w:hyperlink w:anchor="si-note-6">
        <w:r>
          <w:rPr>
            <w:rStyle w:val="Hyperlink"/>
          </w:rPr>
          <w:t xml:space="preserve">Supplementary Note 6: Detailed ablations</w:t>
        </w:r>
      </w:hyperlink>
    </w:p>
    <w:p>
      <w:pPr>
        <w:pStyle w:val="Compact"/>
        <w:numPr>
          <w:ilvl w:val="0"/>
          <w:numId w:val="1001"/>
        </w:numPr>
        <w:jc w:val="both"/>
        <w:keepNext w:val="0"/>
        <w:keepLines w:val="0"/>
        <w:widowControl w:val="1"/>
      </w:pPr>
      <w:hyperlink w:anchor="si-note-7">
        <w:r>
          <w:rPr>
            <w:rStyle w:val="Hyperlink"/>
          </w:rPr>
          <w:t xml:space="preserve">Supplementary Note 7: AiZynthFinder retrosynthesis audit (L1 and extension leads)</w:t>
        </w:r>
      </w:hyperlink>
    </w:p>
    <w:p>
      <w:pPr>
        <w:pStyle w:val="Compact"/>
        <w:numPr>
          <w:ilvl w:val="0"/>
          <w:numId w:val="1001"/>
        </w:numPr>
        <w:jc w:val="both"/>
        <w:keepNext w:val="0"/>
        <w:keepLines w:val="0"/>
        <w:widowControl w:val="1"/>
      </w:pPr>
      <w:hyperlink w:anchor="sec-refs">
        <w:r>
          <w:rPr>
            <w:rStyle w:val="Hyperlink"/>
          </w:rPr>
          <w:t xml:space="preserve">Supplementary references</w:t>
        </w:r>
      </w:hyperlink>
    </w:p>
    <w:p>
      <w:pPr>
        <w:pStyle w:val="FirstParagraph"/>
        <w:jc w:val="both"/>
        <w:keepNext w:val="0"/>
        <w:keepLines w:val="0"/>
        <w:widowControl w:val="1"/>
      </w:pPr>
      <w:r>
        <w:rPr>
          <w:b/>
          <w:bCs/>
        </w:rPr>
        <w:t xml:space="preserve">Tables.</w:t>
      </w:r>
      <w:r>
        <w:t xml:space="preserve"> </w:t>
      </w:r>
      <w:r>
        <w:t xml:space="preserve"> </w:t>
      </w:r>
      <w:r>
        <w:t xml:space="preserve">S1 (12 leads) · 1.1 (per-source provenance) · 2.1a–c (LIMO / denoiser+score / label sources) · 2.5 (production recipe) · 3.1, 3.1b–d, 3.2–3.5 (DFT) · 4.3 (SMARTS rejects) · 5.1–5.2 (MolMIM, SMILES-LSTM) · 6.1, 6.2, 6.3a–d (head-to-head, MOSES, FCD), 6.4a–d (multi-seed, head-state grid, sensitivity, hazard), 6.5, 6.6 (ablations).</w:t>
      </w:r>
      <w:r>
        <w:br/>
      </w:r>
      <w:r>
        <w:rPr>
          <w:b/>
          <w:bCs/>
        </w:rPr>
        <w:t xml:space="preserve">Figures.</w:t>
      </w:r>
      <w:r>
        <w:t xml:space="preserve"> </w:t>
      </w:r>
      <w:r>
        <w:t xml:space="preserve"> </w:t>
      </w:r>
      <w:r>
        <w:t xml:space="preserve">1.1 (atom counts) · 4.8 (composite distribution) · 6.1 (guided vs unguided).</w:t>
      </w:r>
    </w:p>
    <w:bookmarkStart w:id="12" w:name="si-table-s1"/>
    <w:p>
      <w:pPr>
        <w:pStyle w:val="BodyText"/>
        <w:jc w:val="both"/>
        <w:keepNext w:val="0"/>
        <w:keepLines w:val="0"/>
        <w:widowControl w:val="1"/>
      </w:pPr>
      <w:r>
        <w:rPr>
          <w:b/>
          <w:bCs/>
        </w:rPr>
        <w:t xml:space="preserve">Supplementary Table S1.</w:t>
      </w:r>
      <w:r>
        <w:t xml:space="preserve"> </w:t>
      </w:r>
      <w:r>
        <w:t xml:space="preserve">Twelve DFT-confirmed novel leads with canonical SMILES. SMILES are RDKit-canonicalised with explicit charge separation on nitro groups.</w:t>
      </w:r>
      <w:r>
        <w:t xml:space="preserve"> </w:t>
      </w:r>
      <m:oMath>
        <m:sSub>
          <m:e>
            <m:r>
              <m:t>ρ</m:t>
            </m:r>
          </m:e>
          <m:sub>
            <m:r>
              <m:rPr>
                <m:nor/>
                <m:sty m:val="p"/>
              </m:rPr>
              <m:t>cal</m:t>
            </m:r>
          </m:sub>
        </m:sSub>
      </m:oMath>
      <w:r>
        <w:t xml:space="preserve"> </w:t>
      </w:r>
      <w:r>
        <w:t xml:space="preserve">and</w:t>
      </w:r>
      <w:r>
        <w:t xml:space="preserve"> </w:t>
      </w:r>
      <m:oMath>
        <m:sSub>
          <m:e>
            <m:r>
              <m:t>D</m:t>
            </m:r>
          </m:e>
          <m:sub>
            <m:r>
              <m:rPr>
                <m:nor/>
                <m:sty m:val="p"/>
              </m:rPr>
              <m:t>K-J,cal</m:t>
            </m:r>
          </m:sub>
        </m:sSub>
      </m:oMath>
      <w:r>
        <w:t xml:space="preserve"> </w:t>
      </w:r>
      <w:r>
        <w:t xml:space="preserve">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w:t>
      </w:r>
    </w:p>
    <w:tbl>
      <w:tblPr>
        <w:tblStyle w:val="Table"/>
        <w:tblW w:type="pct" w:w="5000"/>
        <w:jc w:val="center"/>
        <w:tblLook w:firstRow="1" w:lastRow="0" w:firstColumn="0" w:lastColumn="0" w:noHBand="0" w:noVBand="0" w:val="0020"/>
        <w:tblCaption w:val="Supplementary Table S1. Twelve DFT-confirmed novel leads with canonical SMILES. SMILES are RDKit-canonicalised with explicit charge separation on nitro groups. \rho_\text{cal} and D_\text{K-J,cal} 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Canonical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O=[N+]([O-])c1noc([N+](=O)[O-])c1[N+](=O)[O-]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3,4,5-trinitro-1,2-isoxazole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O=[N+]([O-])N=C1NC(O)ON=C1[N+](=O)[O-]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cyclic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O=[N+]([O-])C1=NCN=NN1[N+](=O)[O-]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O=C(C=NO[N+](=O)[O-])[N+](=O)[O-]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NN(C=NC=C(N(N[N+](=O)[O-])[N+](=O)[O-])[N+](=O)[O-])[N+](=O)[O-]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N-rich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O=C(N[N+](=O)[O-])C(N=C[N+](=O)[O-])[N+](=O)[O-]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O=[N+]([O-])C=NOC=NN[N+](=O)[O-]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nitroimine + nitramine chain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 (= L3 by canonical SMILES; retained from a different sampling lane)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O=[N+]([O-])C=C(N=NCN[N+](=O)[O-])[N+](=O)[O-]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azo-bridged dinitromethyl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nitrate ester + nitro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O=C1N=C(N[N+](=O)[O-])C(=N1)[N+](=O)[O-]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polynitro 1,3,5-triazinone (extension lead)</w:t>
            </w:r>
          </w:p>
        </w:tc>
      </w:tr>
    </w:tbl>
    <w:bookmarkEnd w:id="12"/>
    <w:bookmarkStart w:id="68" w:name="si-notes"/>
    <w:p>
      <w:pPr>
        <w:pStyle w:val="Heading2"/>
        <w:keepNext/>
        <w:keepLines/>
        <w:widowControl w:val="1"/>
      </w:pPr>
      <w:r>
        <w:t xml:space="preserve">Supplementary Notes</w:t>
      </w:r>
    </w:p>
    <w:bookmarkStart w:id="18" w:name="si-note-1"/>
    <w:p>
      <w:pPr>
        <w:pStyle w:val="Heading3"/>
        <w:keepNext/>
        <w:keepLines/>
        <w:widowControl w:val="1"/>
      </w:pPr>
      <w:r>
        <w:t xml:space="preserve">Supplementary Note 1: Dataset details</w:t>
      </w:r>
    </w:p>
    <w:bookmarkStart w:id="13" w:name="data-sources-and-provenance"/>
    <w:p>
      <w:pPr>
        <w:pStyle w:val="Heading4"/>
        <w:keepNext/>
        <w:keepLines/>
        <w:widowControl w:val="1"/>
      </w:pPr>
      <w:r>
        <w:t xml:space="preserve">1.1 Data sources and provenance</w:t>
      </w:r>
    </w:p>
    <w:p>
      <w:pPr>
        <w:pStyle w:val="FirstParagraph"/>
        <w:jc w:val="both"/>
        <w:keepNext w:val="0"/>
        <w:keepLines w:val="0"/>
        <w:widowControl w:val="1"/>
      </w:pPr>
      <w:r>
        <w:t xml:space="preserve">The labelled master, the unlabelled SMILES dump, and the motif-augmented expansion (Methods “Dataset and four-tier label hierarchy” (main paper)) are assembled from the following public and quasi-public sources. Per-source row counts are post-canonicalisation, post-charge-filter, and post-token-length filter; they sum to more than the master because most molecules carry labels from several sources.</w:t>
      </w:r>
    </w:p>
    <w:p>
      <w:pPr>
        <w:pStyle w:val="ImageCaption"/>
        <w:spacing w:before="80" w:after="120" w:line="240" w:lineRule="auto"/>
        <w:jc w:val="center"/>
        <w:keepNext w:val="0"/>
        <w:keepLines/>
        <w:widowControl w:val="1"/>
      </w:pPr>
      <w:r>
        <w:rPr>
          <w:b/>
          <w:bCs/>
        </w:rPr>
        <w:t xml:space="preserve">Table 1.1.</w:t>
      </w:r>
      <w:r>
        <w:t xml:space="preserve"> </w:t>
      </w:r>
      <w: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1.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 (energetics)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Hand-compilation of experimental</w:t>
            </w:r>
            <w:r>
              <w:rPr>
                <w:rFonts w:ascii="Times New Roman" w:hAnsi="Times New Roman"/>
                <w:sz w:val="20"/>
              </w:rPr>
              <w:t xml:space="preserve"> </w:t>
            </w:r>
            <m:oMath>
              <m:r>
                <m:t>ρ</m:t>
              </m:r>
            </m:oMath>
            <w:r>
              <w:rPr>
                <w:rFonts w:ascii="Times New Roman" w:hAnsi="Times New Roman"/>
                <w:sz w:val="20"/>
              </w:rPr>
              <w:t xml:space="preserve">, HOF,</w:t>
            </w:r>
            <w:r>
              <w:rPr>
                <w:rFonts w:ascii="Times New Roman" w:hAnsi="Times New Roman"/>
                <w:sz w:val="20"/>
              </w:rPr>
              <w:t xml:space="preserve"> </w:t>
            </w:r>
            <m:oMath>
              <m:r>
                <m:t>D</m:t>
              </m:r>
            </m:oMath>
            <w:r>
              <w:rPr>
                <w:rFonts w:ascii="Times New Roman" w:hAnsi="Times New Roman"/>
                <w:sz w:val="20"/>
              </w:rPr>
              <w:t xml:space="preserve">,</w:t>
            </w:r>
            <w:r>
              <w:rPr>
                <w:rFonts w:ascii="Times New Roman" w:hAnsi="Times New Roman"/>
                <w:sz w:val="20"/>
              </w:rPr>
              <w:t xml:space="preserve"> </w:t>
            </w:r>
            <m:oMath>
              <m:r>
                <m:t>P</m:t>
              </m:r>
            </m:oMath>
            <w:r>
              <w:rPr>
                <w:rFonts w:ascii="Times New Roman" w:hAnsi="Times New Roman"/>
                <w:sz w:val="20"/>
              </w:rPr>
              <w:t xml:space="preserve"> </w:t>
            </w:r>
            <w:r>
              <w:rPr>
                <w:rFonts w:ascii="Times New Roman" w:hAnsi="Times New Roman"/>
                <w:sz w:val="20"/>
              </w:rPr>
              <w:t xml:space="preserve">for known nitro / nitramine / azide / tetrazole compounds, drawn from Klapötke (2019), Cooper (1996), and the LLNL Explosives Handbook (Dobratz &amp; Crawford 1985)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emdb">
              <w:r>
                <w:rPr>
                  <w:rStyle w:val="Hyperlink"/>
                </w:rPr>
                <w:t xml:space="preserve">[1]</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Casey et al. 2020 detonation-property dataset (curated CHNO + CHNOClF subset, B3LYP/6-31G* HOF + experimentally-anchored densities)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sey2020prediction">
              <w:r>
                <w:rPr>
                  <w:rStyle w:val="Hyperlink"/>
                </w:rPr>
                <w:t xml:space="preserve">[2]</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Kamlet–Jacobs derived rows: density and HOF from literature compilations propagated through the K-J equation to give surrogate</w:t>
            </w:r>
            <w:r>
              <w:rPr>
                <w:rFonts w:ascii="Times New Roman" w:hAnsi="Times New Roman"/>
                <w:sz w:val="20"/>
              </w:rPr>
              <w:t xml:space="preserve"> </w:t>
            </w:r>
            <m:oMath>
              <m:r>
                <m:t>D</m:t>
              </m:r>
              <m:r>
                <m:rPr>
                  <m:sty m:val="p"/>
                </m:rPr>
                <m:t>,</m:t>
              </m:r>
              <m: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amlet1968detonation">
              <w:r>
                <w:rPr>
                  <w:rStyle w:val="Hyperlink"/>
                </w:rPr>
                <w:t xml:space="preserve">[3]</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3D-CNN smoke-model surrogate (in-house ensemble trained on the union of A+B+C, eight outputs, 5-fold CV</w:t>
            </w:r>
            <w:r>
              <w:rPr>
                <w:rFonts w:ascii="Times New Roman" w:hAnsi="Times New Roman"/>
                <w:sz w:val="20"/>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20"/>
              </w:rPr>
              <w:t xml:space="preserve">) used to label rows that have no other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 for viability classifier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ZINC-15 random subsample (drug-like, neutral, MW &lt; 500), used as inert chemistry against which the RandomForest viability classifier is trained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sterling2015zinc">
              <w:r>
                <w:rPr>
                  <w:rStyle w:val="Hyperlink"/>
                </w:rPr>
                <w:t xml:space="preserve">[4]</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Hard 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Cheats mined from earlier generation pools (gem-tetranitro on small rings, polyazene chains, trinitromethane, gem-dinitrocyclopropane, etc.), encoded through LIMO and used as viab=0 latents in 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SMARTS catalog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NIST CAMEO Chemicals reactivity database + ChemAxon “dangerous reactivity” SMARTS, distilled into the Bruns–Watson demerit catalog used by the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 (rules)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meo">
              <w:r>
                <w:rPr>
                  <w:rStyle w:val="Hyperlink"/>
                </w:rPr>
                <w:t xml:space="preserve">[5]</w:t>
              </w:r>
            </w:hyperlink>
            <w:r>
              <w:rPr>
                <w:rFonts w:ascii="Times New Roman" w:hAnsi="Times New Roman"/>
                <w:sz w:val="20"/>
              </w:rPr>
              <w:t xml:space="preserve">,</w:t>
            </w:r>
            <w:r>
              <w:rPr>
                <w:rFonts w:ascii="Times New Roman" w:hAnsi="Times New Roman"/>
                <w:sz w:val="20"/>
              </w:rPr>
              <w:t xml:space="preserve"> </w:t>
            </w:r>
            <w:hyperlink w:anchor="ref-bruns2020watson">
              <w:r>
                <w:rPr>
                  <w:rStyle w:val="Hyperlink"/>
                </w:rPr>
                <w:t xml:space="preserve">[6]</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Unlabelled domain corpus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Augmented CHNO / CHNOClF SMILES dump assembled from public energetic-chemistry compilations (Klapötke reviews, patent-extracted SMILES, energetic-materials review papers); used only for the unconditional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lapotke2017nitrogen">
              <w:r>
                <w:rPr>
                  <w:rStyle w:val="Hyperlink"/>
                </w:rPr>
                <w:t xml:space="preserve">[7]</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Motif-augmented expansion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Programmatic substitution of nitro, nitramine, azide, cyano, tetrazole, oxadiazole groups onto the labelled master scaffolds, then re-canonicalised and de-duplicated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 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(only used in unlabelled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novelty database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PubChem 2023 (PUG REST query on canonical SMILES) used to assess novelty of generated leads, not for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im2023pubchem">
              <w:r>
                <w:rPr>
                  <w:rStyle w:val="Hyperlink"/>
                </w:rPr>
                <w:t xml:space="preserve">[8]</w:t>
              </w:r>
            </w:hyperlink>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Stability triage tool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xTB 6.6.1 (GFN2-xTB) used at sample-time triage on top leads (</w:t>
            </w:r>
            <m:oMath>
              <m:r>
                <m:rPr>
                  <m:sty m:val="p"/>
                </m:rPr>
                <m:t>≤</m:t>
              </m:r>
            </m:oMath>
            <w:r>
              <w:rPr>
                <w:rFonts w:ascii="Times New Roman" w:hAnsi="Times New Roman"/>
                <w:sz w:val="20"/>
              </w:rPr>
              <w:t xml:space="preserve">100 candidates), not in the training set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hyperlink w:anchor="ref-bannwarth2019gfn2">
              <w:r>
                <w:rPr>
                  <w:rStyle w:val="Hyperlink"/>
                </w:rPr>
                <w:t xml:space="preserve">[9]</w:t>
              </w:r>
            </w:hyperlink>
          </w:p>
        </w:tc>
      </w:tr>
    </w:tbl>
    <w:p>
      <w:pPr>
        <w:pStyle w:val="BodyText"/>
        <w:spacing w:before="16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The per-source counts in the table above are pre-overlap. 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Results “Novelty and synthesisability” (main paper)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bookmarkEnd w:id="13"/>
    <w:bookmarkStart w:id="17" w:name="data-preprocessing-details"/>
    <w:p>
      <w:pPr>
        <w:pStyle w:val="Heading4"/>
        <w:keepNext/>
        <w:keepLines/>
        <w:widowControl w:val="1"/>
      </w:pPr>
      <w:r>
        <w:t xml:space="preserve">1.2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vertAlign w:val="superscript"/>
        </w:rPr>
        <w:t xml:space="preserve">3</w:t>
      </w:r>
      <w: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5" name="Picture"/>
            <a:graphic>
              <a:graphicData uri="http://schemas.openxmlformats.org/drawingml/2006/picture">
                <pic:pic>
                  <pic:nvPicPr>
                    <pic:cNvPr descr="figs/fig_eda_atom_counts.png" id="16" name="Picture"/>
                    <pic:cNvPicPr>
                      <a:picLocks noChangeArrowheads="1" noChangeAspect="1"/>
                    </pic:cNvPicPr>
                  </pic:nvPicPr>
                  <pic:blipFill>
                    <a:blip r:embed="rId14"/>
                    <a:stretch>
                      <a:fillRect/>
                    </a:stretch>
                  </pic:blipFill>
                  <pic:spPr bwMode="auto">
                    <a:xfrm>
                      <a:off x="0" y="0"/>
                      <a:ext cx="5943600" cy="192052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bookmarkEnd w:id="17"/>
    <w:bookmarkEnd w:id="18"/>
    <w:bookmarkStart w:id="26" w:name="si-note-2"/>
    <w:p>
      <w:pPr>
        <w:pStyle w:val="Heading3"/>
        <w:keepNext/>
        <w:keepLines/>
        <w:widowControl w:val="1"/>
      </w:pPr>
      <w:r>
        <w:t xml:space="preserve">Supplementary Note 2: Model architecture and hyperparameter values</w:t>
      </w:r>
    </w:p>
    <w:bookmarkStart w:id="19" w:name="architecture-summary"/>
    <w:p>
      <w:pPr>
        <w:pStyle w:val="Heading4"/>
        <w:keepNext/>
        <w:keepLines/>
        <w:widowControl w:val="1"/>
      </w:pPr>
      <w:r>
        <w:t xml:space="preserve">2.0 Architecture summary</w:t>
      </w:r>
    </w:p>
    <w:p>
      <w:pPr>
        <w:pStyle w:val="FirstParagraph"/>
        <w:jc w:val="both"/>
        <w:keepNext w:val="0"/>
        <w:keepLines w:val="0"/>
        <w:widowControl w:val="1"/>
      </w:pPr>
      <w:r>
        <w:t xml:space="preserve">DGLD instantiates four neural networks plus two non-neural label sources. (1) The</w:t>
      </w:r>
      <w:r>
        <w:t xml:space="preserve"> </w:t>
      </w:r>
      <w:r>
        <w:rPr>
          <w:b/>
          <w:bCs/>
        </w:rPr>
        <w:t xml:space="preserve">LIMO SELFIES-VAE</w:t>
      </w:r>
      <w:r>
        <w:t xml:space="preserve"> </w:t>
      </w:r>
      <w:r>
        <w:t xml:space="preserve">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is a 44.6 M-parameter FiLM-ResNet that reverses a 1000-step cosine DDPM in latent space; the production sampler runs two such denoisers in parallel (DGLD-H + DGLD-P, Results (main paper)). (3) The</w:t>
      </w:r>
      <w:r>
        <w:t xml:space="preserve"> </w:t>
      </w:r>
      <w:r>
        <w:rPr>
          <w:b/>
          <w:bCs/>
        </w:rPr>
        <w:t xml:space="preserve">multi-task score model</w:t>
      </w:r>
      <w:r>
        <w:t xml:space="preserve"> </w:t>
      </w:r>
      <w:r>
        <w:t xml:space="preserve">is a 4-block FiLM-MLP with a shared 1024-d trunk over (z, σ) with three active steering heads (Viability, Sensitivity, Hazard) and three auxiliary multi-task heads (Performance, SA, SC; Supplementary Note 2.4);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2.1a (LIMO VAE), 2.1b (denoiser + score model), and 2.1c (label sources + reranker).</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Methods (main paper) / Discussion (main paper)) and the multi-task score model; the Random Forest and smoke ensemble do not appear in the sampling loop. The smoke ensemble is additionally invoked once per surviving candidate at re-ranking (Stage 1) to produce the (8-output) post-rerank property scores.</w:t>
      </w:r>
    </w:p>
    <w:p>
      <w:pPr>
        <w:pStyle w:val="ImageCaption"/>
        <w:spacing w:before="80" w:after="120" w:line="240" w:lineRule="auto"/>
        <w:jc w:val="center"/>
        <w:keepNext w:val="0"/>
        <w:keepLines/>
        <w:widowControl w:val="1"/>
      </w:pPr>
      <w:r>
        <w:rPr>
          <w:b/>
          <w:bCs/>
        </w:rPr>
        <w:t xml:space="preserve">Table 2.1a.</w:t>
      </w:r>
      <w:r>
        <w:t xml:space="preserve"> </w:t>
      </w:r>
      <w:r>
        <w:t xml:space="preserve">LIMO SELFIES-VAE hyperparameters. Source of truth for all LIMO-related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a. LIMO SELFIES-VAE hyperparameters. Source of truth for all LIMO-related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SELFIES-VAE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SELFIES max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Vocabulary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Linear(72·64=4608→2000)–ReLU–Linear(2000→1000)–BN1d–ReLU–Linear(1000→1000)–BN1d–ReLU–Linear(1000→2·1024)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Linear(1024→1000)–BN1d–ReLU–Linear(1000→1000)–BN1d–ReLU–Linear(1000→2000)–ReLU–Linear(2000→72·108=7776)</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ReLU (encoder &amp; decoder hidden); log-softmax over vocab on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NLL reconstruction + β·KL (standard VAE ELBO; free-bits disabled)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KL weight β</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(constant)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~8500 on 326 k energetic-biased SMILES</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dgld/limo_model.py</w:t>
            </w:r>
            <w:r>
              <w:rPr>
                <w:rFonts w:ascii="Times New Roman" w:hAnsi="Times New Roman"/>
                <w:sz w:val="20"/>
              </w:rPr>
              <w:t xml:space="preserve"> </w:t>
            </w:r>
            <w:r>
              <w:rPr>
                <w:rFonts w:ascii="Times New Roman" w:hAnsi="Times New Roman"/>
                <w:sz w:val="20"/>
              </w:rPr>
              <w:t xml:space="preserve">(LIMOVAE class)</w:t>
            </w:r>
          </w:p>
        </w:tc>
      </w:tr>
    </w:tbl>
    <w:p/>
    <w:p>
      <w:pPr>
        <w:pStyle w:val="ImageCaption"/>
        <w:spacing w:before="80" w:after="120" w:line="240" w:lineRule="auto"/>
        <w:jc w:val="center"/>
        <w:keepNext w:val="0"/>
        <w:keepLines/>
        <w:widowControl w:val="1"/>
      </w:pPr>
      <w:r>
        <w:rPr>
          <w:b/>
          <w:bCs/>
        </w:rPr>
        <w:t xml:space="preserve">Table 2.1b.</w:t>
      </w:r>
      <w:r>
        <w:t xml:space="preserve"> </w:t>
      </w:r>
      <w:r>
        <w:t xml:space="preserve">Denoiser and multi-task score-model hyperparameters. Source of truth for all denoiser and score-model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b. Denoiser and multi-task score-model hyperparameters. Source of truth for all denoiser and score-model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ε</w:t>
            </w:r>
            <w:r>
              <w:rPr>
                <w:rFonts w:ascii="Times New Roman" w:hAnsi="Times New Roman"/>
                <w:sz w:val="20"/>
                <w:vertAlign w:val="subscript"/>
              </w:rPr>
              <w:t xml:space="preserve">θ</w:t>
            </w:r>
            <w:r>
              <w:rPr>
                <w:rFonts w:ascii="Times New Roman" w:hAnsi="Times New Roman"/>
                <w:sz w:val="20"/>
              </w:rPr>
              <w:t xml:space="preserve"> </w:t>
            </w:r>
            <w:r>
              <w:rPr>
                <w:rFonts w:ascii="Times New Roman" w:hAnsi="Times New Roman"/>
                <w:sz w:val="20"/>
              </w:rPr>
              <w:t xml:space="preserve">(DGLD-P)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FiLM-modulated ResNet, 8 residual blocks, latent 1024, hidden 2048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LayerNorm–Linear(1024→2048)–FiLM(γ,β)–SiLU–Linear(2048→1024)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44.6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Time-embed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 (sinusoidal → 2-layer MLP)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 per property × 4 properties = 256, plus learned mask token</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masked MSE on predicted noise ε with mask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 (diffusion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(cosine schedule, Nichol &amp; Dhariwal)</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EMA decay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1e-4 / 1e-4 (cosine decay)</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cfg-dropout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property-dropout rate (DGLD-P)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oversample-extreme factor / quantile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5×–10× above 90th percentile (high tail; matches Methods “Dataset and four-tier label hierarchy” (main paper))</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Multi-task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latent 1024, hidden 1024, σ-embed 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Linear(1024→1024)–LayerNorm–FiLM(σ-emb→(γ,β) over 1024)–SiLU–Dropout(0.1)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embedding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Linear(1→128)–SiLU–Linear(128→128)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Heads (6, parallel on 1024-d trunk)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Linear(1024→256)–SiLU–Linear(256→d</w:t>
            </w:r>
            <w:r>
              <w:rPr>
                <w:rFonts w:ascii="Times New Roman" w:hAnsi="Times New Roman"/>
                <w:sz w:val="20"/>
                <w:vertAlign w:val="subscript"/>
              </w:rPr>
              <w:t xml:space="preserve">k</w:t>
            </w:r>
            <w:r>
              <w:rPr>
                <w:rFonts w:ascii="Times New Roman" w:hAnsi="Times New Roman"/>
                <w:sz w:val="20"/>
              </w:rPr>
              <w:t xml:space="preserve">); d</w:t>
            </w:r>
            <w:r>
              <w:rPr>
                <w:rFonts w:ascii="Times New Roman" w:hAnsi="Times New Roman"/>
                <w:sz w:val="20"/>
                <w:vertAlign w:val="subscript"/>
              </w:rPr>
              <w:t xml:space="preserve">k</w:t>
            </w:r>
            <w:r>
              <w:rPr>
                <w:rFonts w:ascii="Times New Roman" w:hAnsi="Times New Roman"/>
                <w:sz w:val="20"/>
              </w:rPr>
              <w:t xml:space="preserve">=1 for viability/SA/SC/sensitivity/hazard; d</w:t>
            </w:r>
            <w:r>
              <w:rPr>
                <w:rFonts w:ascii="Times New Roman" w:hAnsi="Times New Roman"/>
                <w:sz w:val="20"/>
                <w:vertAlign w:val="subscript"/>
              </w:rPr>
              <w:t xml:space="preserve">k</w:t>
            </w:r>
            <w:r>
              <w:rPr>
                <w:rFonts w:ascii="Times New Roman" w:hAnsi="Times New Roman"/>
                <w:sz w:val="20"/>
              </w:rPr>
              <w:t xml:space="preserve">=4 for performance (ρ, HOF, D, 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 (trunk); sigmoid on viability/hazard logits at use-time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Per-head 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BCE-with-logits (viability, hazard); smooth-L1 on z-scored target (SA, SC, sensitivity, performance), performance masked to Tier-A/B</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Noise-level curriculum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 U(0, σ</w:t>
            </w:r>
            <w:r>
              <w:rPr>
                <w:rFonts w:ascii="Times New Roman" w:hAnsi="Times New Roman"/>
                <w:sz w:val="20"/>
                <w:vertAlign w:val="subscript"/>
              </w:rPr>
              <w:t xml:space="preserve">max</w:t>
            </w:r>
            <w:r>
              <w:rPr>
                <w:rFonts w:ascii="Times New Roman" w:hAnsi="Times New Roman"/>
                <w:sz w:val="20"/>
              </w:rPr>
              <w:t xml:space="preserve">=2.0) per batch; z</w:t>
            </w:r>
            <w:r>
              <w:rPr>
                <w:rFonts w:ascii="Times New Roman" w:hAnsi="Times New Roman"/>
                <w:sz w:val="20"/>
                <w:vertAlign w:val="subscript"/>
              </w:rPr>
              <w:t xml:space="preserve">t</w:t>
            </w:r>
            <w:r>
              <w:rPr>
                <w:rFonts w:ascii="Times New Roman" w:hAnsi="Times New Roman"/>
                <w:sz w:val="20"/>
              </w:rPr>
              <w:t xml:space="preserve">=z</w:t>
            </w:r>
            <w:r>
              <w:rPr>
                <w:rFonts w:ascii="Times New Roman" w:hAnsi="Times New Roman"/>
                <w:sz w:val="20"/>
                <w:vertAlign w:val="subscript"/>
              </w:rPr>
              <w:t xml:space="preserve">0</w:t>
            </w:r>
            <w:r>
              <w:rPr>
                <w:rFonts w:ascii="Times New Roman" w:hAnsi="Times New Roman"/>
                <w:sz w:val="20"/>
              </w:rPr>
              <w:t xml:space="preserve">+σ·ε</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2e-4 / 1e-4 (cosine decay), grad-norm clip 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 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~40k AdamW steps / batch 1024 (matches Discussion (main paper))</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Sample-time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autograd of head losses w.r.t. z</w:t>
            </w:r>
            <w:r>
              <w:rPr>
                <w:rFonts w:ascii="Times New Roman" w:hAnsi="Times New Roman"/>
                <w:sz w:val="20"/>
                <w:vertAlign w:val="subscript"/>
              </w:rPr>
              <w:t xml:space="preserve">t</w:t>
            </w:r>
            <w:r>
              <w:rPr>
                <w:rFonts w:ascii="Times New Roman" w:hAnsi="Times New Roman"/>
                <w:sz w:val="20"/>
              </w:rPr>
              <w:t xml:space="preserve">; per-head clamp + alpha-anneal disabled (Discussion (main paper))</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dgld/train_multihead_latent.py</w:t>
            </w:r>
            <w:r>
              <w:rPr>
                <w:rFonts w:ascii="Times New Roman" w:hAnsi="Times New Roman"/>
                <w:sz w:val="20"/>
              </w:rPr>
              <w:t xml:space="preserve"> </w:t>
            </w:r>
            <w:r>
              <w:rPr>
                <w:rFonts w:ascii="Times New Roman" w:hAnsi="Times New Roman"/>
                <w:sz w:val="20"/>
              </w:rPr>
              <w:t xml:space="preserve">(MultiHeadScoreModel)</w:t>
            </w:r>
          </w:p>
        </w:tc>
      </w:tr>
    </w:tbl>
    <w:p/>
    <w:p>
      <w:pPr>
        <w:pStyle w:val="ImageCaption"/>
        <w:spacing w:before="80" w:after="120" w:line="240" w:lineRule="auto"/>
        <w:jc w:val="center"/>
        <w:keepNext w:val="0"/>
        <w:keepLines/>
        <w:widowControl w:val="1"/>
      </w:pPr>
      <w:r>
        <w:rPr>
          <w:b/>
          <w:bCs/>
        </w:rPr>
        <w:t xml:space="preserve">Table 2.1c.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2.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Random-Forest viability classifier (training-label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Algorithm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scikit-learn RandomForestClassifier (CPU)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n_estimators / max_depth / min_samples_leaf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 / 22 / 4 (v2-hardneg; v1 uses CLI flags: see code)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 weight / random_state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balanced / 42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Feature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~2089 = 2048 Morgan FP (radius 2) + 10 RDKit descriptors + 11 derived CHNO/OB features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data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k labelled energetics positives vs 80 k ZINC-250k random negatives + mined hard negatives (Supplementary Note 2.1)</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AUC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0.9986 (v2-hardneg test split)</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smoke-model ensemble (training-label source &amp; Stage-1 scorer)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Uni-Mol v1 (Zhou et al. 2023) regression head, 2-fold scaffold-CV ensemble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 M per fold × 2 folds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Inputs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conformer atom-coordinate set (Uni-Mol native); not a raw voxel grid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Outputs (8)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 D, P, det-temperature T, det-energy E, det-volume V, HOF, BDE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R</w:t>
            </w:r>
            <w:r>
              <w:rPr>
                <w:rFonts w:ascii="Times New Roman" w:hAnsi="Times New Roman"/>
                <w:sz w:val="20"/>
                <w:vertAlign w:val="super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0.84–0.92 (5-fold CV, per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Wrapper /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scripts/diffusion/unimol_validator.py</w:t>
            </w:r>
            <w:r>
              <w:rPr>
                <w:rFonts w:ascii="Times New Roman" w:hAnsi="Times New Roman"/>
                <w:sz w:val="20"/>
              </w:rPr>
              <w:t xml:space="preserve">; reset every 80 batches</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Re-ranking (Stage 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Tanimoto window</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(0.20, 0.55)</w:t>
            </w:r>
          </w:p>
        </w:tc>
      </w:tr>
    </w:tbl>
    <w:bookmarkEnd w:id="19"/>
    <w:bookmarkStart w:id="20" w:name="X25cc60c06ad122548489808636cad2394d6c66c"/>
    <w:p>
      <w:pPr>
        <w:pStyle w:val="Heading4"/>
        <w:keepNext/>
        <w:keepLines/>
        <w:widowControl w:val="1"/>
      </w:pPr>
      <w:r>
        <w:t xml:space="preserve">2.1 Hard-negative augmentation (self-distillation)</w:t>
      </w:r>
    </w:p>
    <w:p>
      <w:pPr>
        <w:pStyle w:val="FirstParagraph"/>
        <w:jc w:val="both"/>
        <w:keepNext w:val="0"/>
        <w:keepLines w:val="0"/>
        <w:widowControl w:val="1"/>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Results (main paper)).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score model is trained over three rounds (Extended Data Fig. 5, main paper):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Note 6.1 reports an early variant (137 cheats) versus the production variant (918 cheats).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Results (main paper)). The score model after round 2 (corpus + 918 hard negatives) is the production checkpoint used in Results (main paper).</w:t>
      </w:r>
    </w:p>
    <w:p>
      <w:pPr>
        <w:pStyle w:val="BodyText"/>
        <w:jc w:val="both"/>
        <w:keepNext w:val="0"/>
        <w:keepLines w:val="0"/>
        <w:widowControl w:val="1"/>
      </w:pPr>
      <w:r>
        <w:rPr>
          <w:b/>
          <w:bCs/>
        </w:rPr>
        <w:t xml:space="preserve">Procedure summary.</w:t>
      </w:r>
      <w:r>
        <w:t xml:space="preserve"> </w:t>
      </w:r>
      <w:r>
        <w:t xml:space="preserve">The five-step mine-then-retrain loop is given in Methods (main paper, “Multi-task score model and self-distillation”) and is not re-stated here; the held-out 7-anchor / 5-cheat probe (anchors</w:t>
      </w:r>
      <w:r>
        <w:t xml:space="preserve"> </w:t>
      </w:r>
      <m:oMath>
        <m:r>
          <m:rPr>
            <m:sty m:val="p"/>
          </m:rPr>
          <m:t>≥</m:t>
        </m:r>
        <m:r>
          <m:t>0.86</m:t>
        </m:r>
      </m:oMath>
      <w:r>
        <w:t xml:space="preserve"> </w:t>
      </w:r>
      <w:r>
        <w:t xml:space="preserve">AND cheats</w:t>
      </w:r>
      <w:r>
        <w:t xml:space="preserve"> </w:t>
      </w:r>
      <m:oMath>
        <m:r>
          <m:rPr>
            <m:sty m:val="p"/>
          </m:rPr>
          <m:t>≤</m:t>
        </m:r>
        <m:r>
          <m:t>0.84</m:t>
        </m:r>
      </m:oMath>
      <w:r>
        <w:t xml:space="preserve">) is the stopping criterion, satisfied at round 2 (918 cumulative hard negatives).</w:t>
      </w:r>
    </w:p>
    <w:p>
      <w:pPr>
        <w:pStyle w:val="BodyText"/>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Discussion (main paper))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bookmarkEnd w:id="20"/>
    <w:bookmarkStart w:id="21" w:name="X7c2290b4df59b7da00f571a75197efcf4ba4a55"/>
    <w:p>
      <w:pPr>
        <w:pStyle w:val="Heading4"/>
        <w:keepNext/>
        <w:keepLines/>
        <w:widowControl w:val="1"/>
      </w:pPr>
      <w:r>
        <w:t xml:space="preserve">2.2 Sensitivity head: heuristic vs literature-grounded variants</w:t>
      </w:r>
    </w:p>
    <w:p>
      <w:pPr>
        <w:pStyle w:val="FirstParagraph"/>
        <w:jc w:val="both"/>
        <w:keepNext w:val="0"/>
        <w:keepLines w:val="0"/>
        <w:widowControl w:val="1"/>
      </w:pPr>
      <w:r>
        <w:t xml:space="preserve">The default 5-head score model trains the sensitivity head against the hand-coded heuristic of Supplementary Note 2.2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[10]</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bookmarkEnd w:id="21"/>
    <w:bookmarkStart w:id="22" w:name="X0b452f71cfea51ab8b80f10afc9ebbd055a5e58"/>
    <w:p>
      <w:pPr>
        <w:pStyle w:val="Heading4"/>
        <w:keepNext/>
        <w:keepLines/>
        <w:widowControl w:val="1"/>
      </w:pPr>
      <w:r>
        <w:t xml:space="preserve">2.3 Per-head gradient-norm rebalancing (optional)</w:t>
      </w:r>
    </w:p>
    <w:p>
      <w:pPr>
        <w:pStyle w:val="FirstParagraph"/>
        <w:jc w:val="both"/>
        <w:keepNext w:val="0"/>
        <w:keepLines w:val="0"/>
        <w:widowControl w:val="1"/>
      </w:pP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bookmarkEnd w:id="22"/>
    <w:bookmarkStart w:id="23" w:name="drug-domain-transfer-heads-sa-sc"/>
    <w:p>
      <w:pPr>
        <w:pStyle w:val="Heading4"/>
        <w:keepNext/>
        <w:keepLines/>
        <w:widowControl w:val="1"/>
      </w:pPr>
      <w:r>
        <w:t xml:space="preserve">2.4 Drug-domain transfer heads (SA, SC)</w:t>
      </w:r>
    </w:p>
    <w:p>
      <w:pPr>
        <w:pStyle w:val="FirstParagraph"/>
        <w:jc w:val="both"/>
        <w:keepNext w:val="0"/>
        <w:keepLines w:val="0"/>
        <w:widowControl w:val="1"/>
      </w:pPr>
      <w:r>
        <w:t xml:space="preserve">The score model architected in Discussion (main paper)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Discussion (main paper);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Supplementary Note 6.4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Note 2.1)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2.1b)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Note 2.1). The cost of retaining is low; the cost of dropping (re-training the score model, re-running Supplementary Note 6.4 to confirm no SA-axis dependency) is non-trivial. The heads are therefore retained.</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Discussion (main paper) Architecture (drug-domain transfer paragraph); Discussion (main paper)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Note 6.4 Multi-seed pattern (the SA-C3-vs-SA-C2 numerical result). This Supplementary Note consolidates them.</w:t>
      </w:r>
    </w:p>
    <w:bookmarkEnd w:id="23"/>
    <w:bookmarkStart w:id="25" w:name="production-recipe-table-2.5"/>
    <w:p>
      <w:pPr>
        <w:pStyle w:val="Heading4"/>
        <w:keepNext/>
        <w:keepLines/>
        <w:widowControl w:val="1"/>
      </w:pPr>
      <w:r>
        <w:t xml:space="preserve">2.5 Production recipe (Table 2.5)</w:t>
      </w:r>
    </w:p>
    <w:p>
      <w:pPr>
        <w:pStyle w:val="FirstParagraph"/>
        <w:jc w:val="both"/>
        <w:keepNext w:val="0"/>
        <w:keepLines w:val="0"/>
        <w:widowControl w:val="1"/>
      </w:pPr>
      <w:r>
        <w:t xml:space="preserve">Complete configuration used throughout Results (main paper). Each knob traces to the Results “Component contributions” (main paper) ablation (or Methods; see also Methods (main paper) hyperparameter sweep) that selected it.</w:t>
      </w:r>
    </w:p>
    <w:bookmarkStart w:id="24" w:name="table-c5"/>
    <w:p>
      <w:pPr>
        <w:pStyle w:val="ImageCaption"/>
        <w:spacing w:before="80" w:after="120" w:line="240" w:lineRule="auto"/>
        <w:jc w:val="center"/>
        <w:keepNext w:val="0"/>
        <w:keepLines/>
        <w:widowControl w:val="1"/>
      </w:pPr>
      <w:r>
        <w:rPr>
          <w:b/>
          <w:bCs/>
        </w:rPr>
        <w:t xml:space="preserve">Table 2.5.</w:t>
      </w:r>
      <w:r>
        <w:t xml:space="preserve"> </w:t>
      </w:r>
      <w:r>
        <w:t xml:space="preserve">Production recipe for the Results (main paper)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2.5. Production recipe for the Results (main paper)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Generative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VAE + conditional latent DDPM with classifier-free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ensemble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DGLD-H + DGLD-P, pools fused post-decode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 scale 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Extended Data Fig. 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DDIM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prior-art default; not separately swept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Pool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oMath>
            <w:r>
              <w:rPr>
                <w:rFonts w:ascii="Times New Roman" w:hAnsi="Times New Roman"/>
                <w:sz w:val="20"/>
              </w:rPr>
              <w:t xml:space="preserve"> </w:t>
            </w:r>
            <w:r>
              <w:rPr>
                <w:rFonts w:ascii="Times New Roman" w:hAnsi="Times New Roman"/>
                <w:sz w:val="20"/>
              </w:rPr>
              <w:t xml:space="preserve">40k per denoiser, fused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6.5; Extended Data Fig. 2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trunk, 6 heads, multi-task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Discussion (main paper); Supplementary Note 6.1 (HN budget = 918)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 steering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Viability (</w:t>
            </w:r>
            <m:oMath>
              <m:r>
                <m:t>s</m:t>
              </m:r>
              <m:r>
                <m:rPr>
                  <m:sty m:val="p"/>
                </m:rPr>
                <m:t>=</m:t>
              </m:r>
              <m:r>
                <m:t>1.0</m:t>
              </m:r>
            </m:oMath>
            <w:r>
              <w:rPr>
                <w:rFonts w:ascii="Times New Roman" w:hAnsi="Times New Roman"/>
                <w:sz w:val="20"/>
              </w:rPr>
              <w:t xml:space="preserve">), Sensitivity (</w:t>
            </w:r>
            <m:oMath>
              <m:r>
                <m:t>s</m:t>
              </m:r>
              <m:r>
                <m:rPr>
                  <m:sty m:val="p"/>
                </m:rPr>
                <m:t>=</m:t>
              </m:r>
              <m:r>
                <m:t>0.3</m:t>
              </m:r>
            </m:oMath>
            <w:r>
              <w:rPr>
                <w:rFonts w:ascii="Times New Roman" w:hAnsi="Times New Roman"/>
                <w:sz w:val="20"/>
              </w:rPr>
              <w:t xml:space="preserve">), Hazard (</w:t>
            </w:r>
            <m:oMath>
              <m:r>
                <m:t>s</m:t>
              </m:r>
              <m:r>
                <m:rPr>
                  <m:sty m:val="p"/>
                </m:rP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6.3,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Inactive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Performance, SA, SC (auxiliary multi-task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Anneal / clamp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20"/>
              </w:rPr>
              <w:t xml:space="preserve">,</w:t>
            </w:r>
            <w:r>
              <w:rPr>
                <w:rFonts w:ascii="Times New Roman" w:hAnsi="Times New Roman"/>
                <w:sz w:val="20"/>
              </w:rPr>
              <w:t xml:space="preserve"> </w:t>
            </w:r>
            <m:oMath>
              <m:sSub>
                <m:e>
                  <m:r>
                    <m:t>C</m:t>
                  </m:r>
                </m:e>
                <m:sub>
                  <m:r>
                    <m:t>g</m:t>
                  </m:r>
                </m:sub>
              </m:sSub>
              <m:r>
                <m:rPr>
                  <m:sty m:val="p"/>
                </m:rPr>
                <m:t>=</m:t>
              </m:r>
              <m:r>
                <m:t>50</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Supplementary Note 4.5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Chemist-curated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Pareto reranker on 4 axes, composite tie-break, top-K = 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GFN2-xTB, HOMO–LUMO gap</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1.5 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chemist-set threshold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DFT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B3LYP/6-31G(d) opt +</w:t>
            </w:r>
            <w:r>
              <w:rPr>
                <w:rFonts w:ascii="Times New Roman" w:hAnsi="Times New Roman"/>
                <w:sz w:val="20"/>
              </w:rPr>
              <w:t xml:space="preserve"> </w:t>
            </w:r>
            <m:oMath>
              <m:r>
                <m:t>ω</m:t>
              </m:r>
            </m:oMath>
            <w:r>
              <w:rPr>
                <w:rFonts w:ascii="Times New Roman" w:hAnsi="Times New Roman"/>
                <w:sz w:val="20"/>
              </w:rPr>
              <w:t xml:space="preserve">B97X-D3BJ/def2-TZVP single-point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Supplementary Note 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calibration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6-anchor LOO fit:</w:t>
            </w:r>
            <w:r>
              <w:rPr>
                <w:rFonts w:ascii="Times New Roman" w:hAnsi="Times New Roman"/>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20"/>
              </w:rPr>
              <w:t xml:space="preserve">, HOF</w:t>
            </w:r>
            <m:oMath>
              <m:sSub>
                <m:e>
                  <m:r>
                    <m:t>​</m:t>
                  </m:r>
                </m:e>
                <m:sub>
                  <m:r>
                    <m:rPr>
                      <m:nor/>
                      <m:sty m:val="p"/>
                    </m:rPr>
                    <m:t>cal</m:t>
                  </m:r>
                </m:sub>
              </m:sSub>
            </m:oMath>
            <w:r>
              <w:rPr>
                <w:rFonts w:ascii="Times New Roman" w:hAnsi="Times New Roman"/>
                <w:sz w:val="20"/>
              </w:rPr>
              <w:t xml:space="preserve"> </w:t>
            </w:r>
            <w:r>
              <w:rPr>
                <w:rFonts w:ascii="Times New Roman" w:hAnsi="Times New Roman"/>
                <w:sz w:val="20"/>
              </w:rPr>
              <w:t xml:space="preserve">= HOF</w:t>
            </w:r>
            <m:oMath>
              <m:sSub>
                <m:e>
                  <m:r>
                    <m:t>​</m:t>
                  </m:r>
                </m:e>
                <m:sub>
                  <m:r>
                    <m:rPr>
                      <m:nor/>
                      <m:sty m:val="p"/>
                    </m:rPr>
                    <m:t>DFT</m:t>
                  </m:r>
                </m:sub>
              </m:sSub>
              <m:r>
                <m:rPr>
                  <m:sty m:val="p"/>
                </m:rPr>
                <m:t>−</m:t>
              </m:r>
              <m:r>
                <m:t>206.7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K-J recompute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Closed-form K-J on calibrated</w:t>
            </w:r>
            <w:r>
              <w:rPr>
                <w:rFonts w:ascii="Times New Roman" w:hAnsi="Times New Roman"/>
                <w:sz w:val="20"/>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20"/>
              </w:rPr>
              <w:t xml:space="preserve">; ranking-grade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Reranker property scoring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perf_score(</w:t>
            </w:r>
            <m:oMath>
              <m:r>
                <m:t>ρ</m:t>
              </m:r>
            </m:oMath>
            <w:r>
              <w:rPr>
                <w:rStyle w:val="VerbatimChar"/>
                <w:rFonts w:ascii="Times New Roman" w:hAnsi="Times New Roman"/>
                <w:sz w:val="20"/>
              </w:rPr>
              <w:t xml:space="preserve">, HOF, </w:t>
            </w:r>
            <m:oMath>
              <m:r>
                <m:t>D</m:t>
              </m:r>
            </m:oMath>
            <w:r>
              <w:rPr>
                <w:rStyle w:val="VerbatimChar"/>
                <w:rFonts w:ascii="Times New Roman" w:hAnsi="Times New Roman"/>
                <w:sz w:val="20"/>
              </w:rPr>
              <w:t xml:space="preserve">, </w:t>
            </w:r>
            <m:oMath>
              <m:r>
                <m:t>P</m:t>
              </m:r>
            </m:oMath>
            <w:r>
              <w:rPr>
                <w:rStyle w:val="VerbatimCha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ramp on 3D-CNN smoke ensemble outputs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bl>
    <w:bookmarkEnd w:id="24"/>
    <w:bookmarkEnd w:id="25"/>
    <w:bookmarkEnd w:id="26"/>
    <w:bookmarkStart w:id="42" w:name="si-note-3"/>
    <w:p>
      <w:pPr>
        <w:pStyle w:val="Heading3"/>
        <w:keepNext/>
        <w:keepLines/>
        <w:widowControl w:val="1"/>
      </w:pPr>
      <w:r>
        <w:t xml:space="preserve">Supplementary Note 3: First-principles audit (DFT) methodology and uncertainty bounds</w:t>
      </w:r>
    </w:p>
    <w:p>
      <w:pPr>
        <w:pStyle w:val="FirstParagraph"/>
        <w:jc w:val="both"/>
        <w:keepNext w:val="0"/>
        <w:keepLines w:val="0"/>
        <w:widowControl w:val="1"/>
      </w:pPr>
      <w:r>
        <w:t xml:space="preserve">This Supplementary Note collects the DFT-methodology details that support Results (main paper) (per-lead validation and anchor calibration). Results (main paper) reports only the result table; readers who want to assess the methodology choices, the systematic-bias bands, and the calibration-extension recommendations should refer to this Supplementary Note.</w:t>
      </w:r>
    </w:p>
    <w:bookmarkStart w:id="27" w:name="functional-and-basis-set-choice"/>
    <w:p>
      <w:pPr>
        <w:pStyle w:val="Heading4"/>
        <w:keepNext/>
        <w:keepLines/>
        <w:widowControl w:val="1"/>
      </w:pPr>
      <w:r>
        <w:t xml:space="preserve">3.1 Functional and basis-set choice</w:t>
      </w:r>
    </w:p>
    <w:p>
      <w:pPr>
        <w:pStyle w:val="FirstParagraph"/>
        <w:jc w:val="both"/>
        <w:keepNext w:val="0"/>
        <w:keepLines w:val="0"/>
        <w:widowControl w:val="1"/>
      </w:pP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[2]</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bookmarkEnd w:id="27"/>
    <w:bookmarkStart w:id="28" w:name="thermal-correction-to-298-k"/>
    <w:p>
      <w:pPr>
        <w:pStyle w:val="Heading4"/>
        <w:keepNext/>
        <w:keepLines/>
        <w:widowControl w:val="1"/>
      </w:pPr>
      <w:r>
        <w:t xml:space="preserve">3.2 Thermal correction to 298 K</w:t>
      </w:r>
    </w:p>
    <w:p>
      <w:pPr>
        <w:pStyle w:val="FirstParagraph"/>
        <w:jc w:val="both"/>
        <w:keepNext w:val="0"/>
        <w:keepLines w:val="0"/>
        <w:widowControl w:val="1"/>
      </w:pPr>
      <w:r>
        <w:t xml:space="preserve">All HOFs in Results (main paper)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kJ/mol)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kJ/mol).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kJ/mol, smaller than the</w:t>
      </w:r>
      <w:r>
        <w:t xml:space="preserve"> </w:t>
      </w:r>
      <m:oMath>
        <m:r>
          <m:rPr>
            <m:sty m:val="p"/>
          </m:rPr>
          <m:t>±</m:t>
        </m:r>
        <m:r>
          <m:t>64.6</m:t>
        </m:r>
      </m:oMath>
      <w:r>
        <w:t xml:space="preserve"> kJ/mol LOO uncertainty from the 6-anchor calibration of the atomization energy (3.4). We report 0 K HOFs throughout for consistency; converting to 298 K standard HOF would shift values uniformly by ~10–25 kJ/mol with no impact on relative rankings or the K-J residual.</w:t>
      </w:r>
    </w:p>
    <w:bookmarkEnd w:id="28"/>
    <w:bookmarkStart w:id="29" w:name="X747346594104d40384828f524dcb003e76bf02a"/>
    <w:p>
      <w:pPr>
        <w:pStyle w:val="Heading4"/>
        <w:keepNext/>
        <w:keepLines/>
        <w:widowControl w:val="1"/>
      </w:pPr>
      <w:r>
        <w:t xml:space="preserve">3.3 Calibration uncertainty: literature bias bands</w:t>
      </w:r>
    </w:p>
    <w:p>
      <w:pPr>
        <w:pStyle w:val="FirstParagraph"/>
        <w:jc w:val="both"/>
        <w:keepNext w:val="0"/>
        <w:keepLines w:val="0"/>
        <w:widowControl w:val="1"/>
      </w:pPr>
      <w:r>
        <w:t xml:space="preserve">The 6-anchor LOO RMS quoted in Results (main paper)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[11]</w:t>
        </w:r>
      </w:hyperlink>
      <w:r>
        <w:t xml:space="preserve"> </w:t>
      </w:r>
      <w:r>
        <w:t xml:space="preserve">place the systematic atomization-energy bias of B3LYP with a double-zeta polarised basis at approximately 5–15 kJ/mol per atom, which scales to</w:t>
      </w:r>
      <w:r>
        <w:t xml:space="preserve"> </w:t>
      </w:r>
      <m:oMath>
        <m:r>
          <m:rPr>
            <m:sty m:val="p"/>
          </m:rPr>
          <m:t>∼</m:t>
        </m:r>
      </m:oMath>
      <w:r>
        <w:t xml:space="preserve">100–250 kJ/mol at the molecular level for our 15–25-atom leads, consistent with the +170 to +224 kJ/mol offsets we observe at the RDX/TATB anchors. Casey et al.</w:t>
      </w:r>
      <w:r>
        <w:t xml:space="preserve"> </w:t>
      </w:r>
      <w:hyperlink w:anchor="ref-casey2020prediction">
        <w:r>
          <w:rPr>
            <w:rStyle w:val="Hyperlink"/>
          </w:rPr>
          <w:t xml:space="preserve">[2]</w:t>
        </w:r>
      </w:hyperlink>
      <w:r>
        <w:t xml:space="preserve"> </w:t>
      </w:r>
      <w:r>
        <w:t xml:space="preserve">report B3LYP/6-31G* HOF residuals on a CHNO test set with molecule-level RMSE in the</w:t>
      </w:r>
      <w:r>
        <w:t xml:space="preserve"> </w:t>
      </w:r>
      <m:oMath>
        <m:r>
          <m:rPr>
            <m:sty m:val="p"/>
          </m:rPr>
          <m:t>∼</m:t>
        </m:r>
      </m:oMath>
      <w:r>
        <w:t xml:space="preserve">30–50 kJ/mol band (</w:t>
      </w:r>
      <m:oMath>
        <m:r>
          <m:rPr>
            <m:sty m:val="p"/>
          </m:rPr>
          <m:t>∼</m:t>
        </m:r>
      </m:oMath>
      <w:r>
        <w:t xml:space="preserve">5–10 kJ/mol per heavy atom), which is the closest published analogue to our setup and which we adopt as the residual-uncertainty band on calibrated HOFs in Results (main paper). For density, the Bondi van-der-Waals volume estimator</w:t>
      </w:r>
      <w:r>
        <w:t xml:space="preserve"> </w:t>
      </w:r>
      <w:hyperlink w:anchor="ref-bondi1964vdw">
        <w:r>
          <w:rPr>
            <w:rStyle w:val="Hyperlink"/>
          </w:rPr>
          <w:t xml:space="preserve">[12]</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bookmarkEnd w:id="29"/>
    <w:bookmarkStart w:id="30" w:name="anchor-calibration"/>
    <w:p>
      <w:pPr>
        <w:pStyle w:val="Heading4"/>
        <w:keepNext/>
        <w:keepLines/>
        <w:widowControl w:val="1"/>
      </w:pPr>
      <w:r>
        <w:t xml:space="preserve">3.4 6-anchor calibration</w:t>
      </w:r>
    </w:p>
    <w:p>
      <w:pPr>
        <w:pStyle w:val="FirstParagraph"/>
        <w:jc w:val="both"/>
        <w:keepNext w:val="0"/>
        <w:keepLines w:val="0"/>
        <w:widowControl w:val="1"/>
      </w:pPr>
      <w:r>
        <w:t xml:space="preserve">The 6-anchor calibration on (RDX, TATB, HMX, PETN, FOX-7, NTO)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 HOF</w:t>
      </w:r>
      <m:oMath>
        <m:sSub>
          <m:e>
            <m:r>
              <m:t>​</m:t>
            </m:r>
          </m:e>
          <m:sub>
            <m:r>
              <m:rPr>
                <m:nor/>
                <m:sty m:val="p"/>
              </m:rPr>
              <m:t>DFT</m:t>
            </m:r>
          </m:sub>
        </m:sSub>
        <m:r>
          <m:rPr>
            <m:sty m:val="p"/>
          </m:rPr>
          <m:t>−</m:t>
        </m:r>
        <m:r>
          <m:t>206.7</m:t>
        </m:r>
      </m:oMath>
      <w:r>
        <w:t xml:space="preserve"> kJ/mol, with leave-one-out RMS residuals of</w:t>
      </w:r>
      <w:r>
        <w:t xml:space="preserve"> </w:t>
      </w:r>
      <m:oMath>
        <m:r>
          <m:rPr>
            <m:sty m:val="p"/>
          </m:rPr>
          <m:t>±</m:t>
        </m:r>
        <m:r>
          <m:t>0.078</m:t>
        </m:r>
      </m:oMath>
      <w:r>
        <w:t xml:space="preserve"> g/cm</w:t>
      </w:r>
      <w:r>
        <w:rPr>
          <w:vertAlign w:val="superscript"/>
        </w:rPr>
        <w:t xml:space="preserve">3</w:t>
      </w:r>
      <w:r>
        <w:t xml:space="preserve"> </w:t>
      </w:r>
      <w:r>
        <w:t xml:space="preserve">on calibrated</w:t>
      </w:r>
      <w:r>
        <w:t xml:space="preserve"> </w:t>
      </w:r>
      <m:oMath>
        <m:r>
          <m:t>ρ</m:t>
        </m:r>
      </m:oMath>
      <w:r>
        <w:t xml:space="preserve"> </w:t>
      </w:r>
      <w:r>
        <w:t xml:space="preserve">and</w:t>
      </w:r>
      <w:r>
        <w:t xml:space="preserve"> </w:t>
      </w:r>
      <m:oMath>
        <m:r>
          <m:rPr>
            <m:sty m:val="p"/>
          </m:rPr>
          <m:t>±</m:t>
        </m:r>
        <m:r>
          <m:t>64.6</m:t>
        </m:r>
      </m:oMath>
      <w:r>
        <w:t xml:space="preserve"> kJ/mol on calibrated HOF.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kJ/mol 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Results (main paper); per-anchor fit residuals are tabulated in Supplementary Note 3.4. The calibrated DFT numbers in Results (main paper)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bookmarkEnd w:id="30"/>
    <w:bookmarkStart w:id="31" w:name="per-lead-dft-recomputed-property-table"/>
    <w:p>
      <w:pPr>
        <w:pStyle w:val="Heading4"/>
        <w:keepNext/>
        <w:keepLines/>
        <w:widowControl w:val="1"/>
      </w:pPr>
      <w:r>
        <w:t xml:space="preserve">3.5 Per-lead DFT-recomputed property table</w:t>
      </w:r>
    </w:p>
    <w:p>
      <w:pPr>
        <w:pStyle w:val="FirstParagraph"/>
        <w:jc w:val="both"/>
        <w:keepNext w:val="0"/>
        <w:keepLines w:val="0"/>
        <w:widowControl w:val="1"/>
      </w:pPr>
      <w:r>
        <w:t xml:space="preserve">Full per-lead B3LYP/6-31G(d) optimisation +</w:t>
      </w:r>
      <w:r>
        <w:t xml:space="preserve"> </w:t>
      </w:r>
      <m:oMath>
        <m:r>
          <m:t>ω</m:t>
        </m:r>
      </m:oMath>
      <w:r>
        <w:t xml:space="preserve">B97X-D3BJ/def2-TZVP single-point results for the chem-pass leads and the two anchors (RDX, TATB):</w:t>
      </w:r>
    </w:p>
    <w:p>
      <w:pPr>
        <w:pStyle w:val="ImageCaption"/>
        <w:spacing w:before="80" w:after="120" w:line="240" w:lineRule="auto"/>
        <w:jc w:val="center"/>
        <w:keepNext w:val="0"/>
        <w:keepLines/>
        <w:widowControl w:val="1"/>
      </w:pPr>
      <w:r>
        <w:rPr>
          <w:b/>
          <w:bCs/>
        </w:rPr>
        <w:t xml:space="preserve">Table 3.1.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3.1c.</w:t>
      </w:r>
    </w:p>
    <w:tbl>
      <w:tblPr>
        <w:tblStyle w:val="Table"/>
        <w:tblW w:type="pct" w:w="5000"/>
        <w:jc w:val="center"/>
        <w:tblLook w:firstRow="1" w:lastRow="0" w:firstColumn="0" w:lastColumn="0" w:noHBand="0" w:noVBand="0" w:val="0020"/>
        <w:tblCaption w:val="Table 3.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3.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6</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419.1</w:t>
            </w:r>
          </w:p>
        </w:tc>
      </w:tr>
    </w:tbl>
    <w:p>
      <w:pPr>
        <w:pStyle w:val="BodyText"/>
        <w:spacing w:before="16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ImageCaption"/>
        <w:spacing w:before="80" w:after="120" w:line="240" w:lineRule="auto"/>
        <w:jc w:val="center"/>
        <w:keepNext w:val="0"/>
        <w:keepLines/>
        <w:widowControl w:val="1"/>
      </w:pPr>
      <w:r>
        <w:rPr>
          <w:b/>
          <w:bCs/>
        </w:rPr>
        <w:t xml:space="preserve">Table 3.1c.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kJ/mol (6-anchor RDX/TATB/HMX/PETN/FOX-7/NTO fit; LOO RMS ±0.078 g/cm</w:t>
      </w:r>
      <w:r>
        <w:rPr>
          <w:vertAlign w:val="superscript"/>
        </w:rPr>
        <w:t xml:space="preserve">3</w:t>
      </w:r>
      <w:r>
        <w:t xml:space="preserve"> </w:t>
      </w:r>
      <w:r>
        <w:t xml:space="preserve">on ρ and ±64.6 kJ/mol 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[10]</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kcal/mol).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3.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10]);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50,model</w:t>
            </w:r>
            <w:r>
              <w:rPr>
                <w:rFonts w:ascii="Times New Roman" w:hAnsi="Times New Roman"/>
                <w:b/>
                <w:sz w:val="19"/>
              </w:rPr>
              <w:t xml:space="preserve"> </w:t>
            </w:r>
            <w:r>
              <w:rPr>
                <w:rFonts w:ascii="Times New Roman" w:hAnsi="Times New Roman"/>
                <w:b/>
                <w:sz w:val="19"/>
              </w:rPr>
              <w:t xml:space="preserve">(cm)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50,BDE</w:t>
            </w:r>
            <w:r>
              <w:rPr>
                <w:rFonts w:ascii="Times New Roman" w:hAnsi="Times New Roman"/>
                <w:b/>
                <w:sz w:val="19"/>
              </w:rPr>
              <w:t xml:space="preserve"> </w:t>
            </w:r>
            <w:r>
              <w:rPr>
                <w:rFonts w:ascii="Times New Roman" w:hAnsi="Times New Roman"/>
                <w:b/>
                <w:sz w:val="19"/>
              </w:rPr>
              <w:t xml:space="preserve">(cm)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89.2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bl>
    <w:p>
      <w:pPr>
        <w:pStyle w:val="BodyText"/>
        <w:spacing w:before="16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kcal/mol). Neither route is authoritative for a novel chemotype; experimental impact-sensitivity testing is required.</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Results “Novelty and synthesisability” (main paper) were optimised with the same protocol; they are</w:t>
      </w:r>
      <w:r>
        <w:t xml:space="preserve"> </w:t>
      </w:r>
      <w:r>
        <w:rPr>
          <w:i/>
          <w:iCs/>
        </w:rPr>
        <w:t xml:space="preserve">not</w:t>
      </w:r>
      <w:r>
        <w:t xml:space="preserve"> </w:t>
      </w:r>
      <w:r>
        <w:t xml:space="preserve">chem-pass leads and are reported here for completeness:</w:t>
      </w:r>
    </w:p>
    <w:p>
      <w:pPr>
        <w:pStyle w:val="ImageCaption"/>
        <w:spacing w:before="80" w:after="120" w:line="240" w:lineRule="auto"/>
        <w:jc w:val="center"/>
        <w:keepNext w:val="0"/>
        <w:keepLines/>
        <w:widowControl w:val="1"/>
      </w:pPr>
      <w:r>
        <w:rPr>
          <w:b/>
          <w:bCs/>
        </w:rPr>
        <w:t xml:space="preserve">Table 3.1b.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3.1d.</w:t>
      </w:r>
    </w:p>
    <w:tbl>
      <w:tblPr>
        <w:tblStyle w:val="Table"/>
        <w:tblW w:type="pct" w:w="5000"/>
        <w:jc w:val="center"/>
        <w:tblLook w:firstRow="1" w:lastRow="0" w:firstColumn="0" w:lastColumn="0" w:noHBand="0" w:noVBand="0" w:val="0020"/>
        <w:tblCaption w:val="Table 3.1b. Reference-class (chem-rejected) scaffolds optimised with the same B3LYP/6-31G(d) + ωB97X-D3BJ/def2-TZVP protocol. R2 is an N-nitroimine, R3 a polyazene chain, R14 an azo-amino-nitrate. DFT-derived properties for these compounds are in Table 3.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234.3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348.6</w:t>
            </w:r>
          </w:p>
        </w:tc>
      </w:tr>
    </w:tbl>
    <w:p/>
    <w:p>
      <w:pPr>
        <w:pStyle w:val="ImageCaption"/>
        <w:spacing w:before="80" w:after="120" w:line="240" w:lineRule="auto"/>
        <w:jc w:val="center"/>
        <w:keepNext w:val="0"/>
        <w:keepLines/>
        <w:widowControl w:val="1"/>
      </w:pPr>
      <w:r>
        <w:rPr>
          <w:b/>
          <w:bCs/>
        </w:rPr>
        <w:t xml:space="preserve">Table 3.1d.</w:t>
      </w:r>
      <w:r>
        <w:t xml:space="preserve"> </w:t>
      </w:r>
      <w:r>
        <w:t xml:space="preserve">DFT-derived properties for the three reference-class scaffolds. Calibration as Table 3.1c. h</w:t>
      </w:r>
      <w:r>
        <w:rPr>
          <w:vertAlign w:val="subscript"/>
        </w:rPr>
        <w:t xml:space="preserve">50</w:t>
      </w:r>
      <w:r>
        <w:t xml:space="preserve"> </w:t>
      </w:r>
      <w: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3.1d. DFT-derived properties for the three reference-class scaffolds. Calibration as Table 3.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1.818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+437.4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+230.7</w:t>
            </w:r>
          </w:p>
        </w:tc>
      </w:tr>
    </w:tbl>
    <w:p>
      <w:pPr>
        <w:pStyle w:val="BodyText"/>
        <w:spacing w:before="16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g/cm</w:t>
      </w:r>
      <w:r>
        <w:rPr>
          <w:vertAlign w:val="superscript"/>
        </w:rPr>
        <w:t xml:space="preserve">3</w:t>
      </w:r>
      <w:r>
        <w:t xml:space="preserve"> </w:t>
      </w:r>
      <w:r>
        <w:t xml:space="preserve">and kJ/mol respectively. Raw</w:t>
      </w:r>
      <w:r>
        <w:t xml:space="preserve"> </w:t>
      </w:r>
      <m:oMath>
        <m:r>
          <m:t>ω</m:t>
        </m:r>
      </m:oMath>
      <w:r>
        <w:t xml:space="preserve">B97X-D3BJ DFT outputs are tabulated in Table 3.1c.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kJ/mol, with LOO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(per-anchor residuals in Supplementary Note 3.4).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kJ/mol.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ImageCaption"/>
        <w:spacing w:before="80" w:after="120" w:line="240" w:lineRule="auto"/>
        <w:jc w:val="center"/>
        <w:keepNext w:val="0"/>
        <w:keepLines/>
        <w:widowControl w:val="1"/>
      </w:pPr>
      <w:r>
        <w:rPr>
          <w:b/>
          <w:bCs/>
        </w:rPr>
        <w:t xml:space="preserve">Table 3.2.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3.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 trinitro-isoxazole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D=9.56, ρ=2.00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D=7.85, P=27.3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D=8.25, P=32.9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 oxime-nitrate-imidazoline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D=8.96,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D=6.81, P=19.9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 oxadiazinone-N-nitramine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 5-ring tetrazoline-N-nitramine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D=8.98,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D=5.56, P=13.2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D=6.71, P=20.9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 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D=7.99, P=29.6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 hydrazinyl tetranitramine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D=9.27,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D=6.44, P=17.6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D=7.33, P=24.6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 acyl-nitramide nitrate-imine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D=9.30, ρ=1.90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D=6.97, P=20.5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D=7.88, P=28.5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 oxadiazoline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D=9.05,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D=6.39, P=17.0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D=7.36, P=24.5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 oxadiazinone-N-nitramine (alt SMILES)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 vinyl azo-amino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D=9.00, ρ=1.89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D=6.21, P=16.0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D=7.09, P=22.6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 acyl C-OH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D=9.14,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r>
              <w:rPr>
                <w:rFonts w:ascii="Times New Roman" w:hAnsi="Times New Roman"/>
                <w:sz w:val="20"/>
              </w:rPr>
              <w:t xml:space="preserve"> </w:t>
            </w:r>
            <m:oMath>
              <m:r>
                <m:t>α</m:t>
              </m:r>
            </m:oMath>
            <w:r>
              <w:rPr>
                <w:rFonts w:ascii="Times New Roman" w:hAnsi="Times New Roman"/>
                <w:sz w:val="20"/>
              </w:rPr>
              <w:t xml:space="preserve">-NO</w:t>
            </w:r>
            <w:r>
              <w:rPr>
                <w:rFonts w:ascii="Times New Roman" w:hAnsi="Times New Roman"/>
                <w:sz w:val="20"/>
                <w:vertAlign w:val="subscript"/>
              </w:rPr>
              <w:t xml:space="preserve">2</w:t>
            </w:r>
            <w:r>
              <w:rPr>
                <w:rFonts w:ascii="Times New Roman" w:hAnsi="Times New Roman"/>
                <w:sz w:val="20"/>
              </w:rPr>
              <w:t xml:space="preserve"> </w:t>
            </w:r>
            <w:r>
              <w:rPr>
                <w:rFonts w:ascii="Times New Roman" w:hAnsi="Times New Roman"/>
                <w:sz w:val="20"/>
              </w:rPr>
              <w:t xml:space="preserve">acyl-N-nitramine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D=9.12, ρ=1.91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D=6.40, P=17.7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D=7.41,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RDX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D=8.75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D=7.43, P=25.0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−1.32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TATB</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D=6.93, P=22.0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HMX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D=7.52, P=26.2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PETN</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D=8.30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D=8.24, P=30.6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FOX-7</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D=8.87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 km/s (vs exp)</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NTO</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D=7.93 (exp)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D=7.49, P=25.6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km/s (vs exp)</w:t>
            </w:r>
          </w:p>
        </w:tc>
      </w:tr>
    </w:tbl>
    <w:p>
      <w:pPr>
        <w:pStyle w:val="BodyText"/>
        <w:spacing w:before="160"/>
        <w:jc w:val="both"/>
        <w:keepNext w:val="0"/>
        <w:keepLines w:val="0"/>
        <w:widowControl w:val="1"/>
      </w:pPr>
      <w:r>
        <w:rPr>
          <w:b/>
          <w:bCs/>
        </w:rPr>
        <w:t xml:space="preserve">Reading Table 3.2.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km/s below experiment, with a mean of</w:t>
      </w:r>
      <w:r>
        <w:t xml:space="preserve"> </w:t>
      </w:r>
      <m:oMath>
        <m:r>
          <m:rPr>
            <m:sty m:val="p"/>
          </m:rPr>
          <m:t>−</m:t>
        </m:r>
        <m:r>
          <m:t>0.92</m:t>
        </m:r>
      </m:oMath>
      <w:r>
        <w:t xml:space="preserve"> km/s.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km/s, mean</w:t>
      </w:r>
      <w:r>
        <w:t xml:space="preserve"> </w:t>
      </w:r>
      <m:oMath>
        <m:r>
          <m:rPr>
            <m:sty m:val="p"/>
          </m:rPr>
          <m:t>−</m:t>
        </m:r>
        <m:r>
          <m:t>1.66</m:t>
        </m:r>
      </m:oMath>
      <w:r>
        <w:t xml:space="preserve"> km/s) sit comfortably inside this anchor-defined band, and the</w:t>
      </w:r>
      <w:r>
        <w:t xml:space="preserve"> </w:t>
      </w:r>
      <m:oMath>
        <m:r>
          <m:rPr>
            <m:sty m:val="p"/>
          </m:rPr>
          <m:t>−</m:t>
        </m:r>
        <m:r>
          <m:t>1.31</m:t>
        </m:r>
      </m:oMath>
      <w:r>
        <w:t xml:space="preserve"> km/s residual on L1 is one of the smallest in the lead set, consistent with L1's HMX-class regime placement.</w:t>
      </w:r>
    </w:p>
    <w:bookmarkEnd w:id="31"/>
    <w:bookmarkStart w:id="32" w:name="Xe5634de1881f7c2a99c8329b75ac8ab36462947"/>
    <w:p>
      <w:pPr>
        <w:pStyle w:val="Heading4"/>
        <w:keepNext/>
        <w:keepLines/>
        <w:widowControl w:val="1"/>
      </w:pPr>
      <w:r>
        <w:t xml:space="preserve">3.5b caveat block: 1,2,3,5-oxatriazole stability literature (E1)</w:t>
      </w:r>
    </w:p>
    <w:p>
      <w:pPr>
        <w:pStyle w:val="FirstParagraph"/>
        <w:jc w:val="both"/>
        <w:keepNext w:val="0"/>
        <w:keepLines w:val="0"/>
        <w:widowControl w:val="1"/>
      </w:pP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Note 3.10 GFN2-xTB BDE scan places E1's weakest cleavage at</w:t>
      </w:r>
      <w:r>
        <w:t xml:space="preserve"> </w:t>
      </w:r>
      <m:oMath>
        <m:r>
          <m:t>92.7</m:t>
        </m:r>
      </m:oMath>
      <w:r>
        <w:t xml:space="preserve"> kcal/mol on the exocyclic C–NO</w:t>
      </w:r>
      <w:r>
        <w:rPr>
          <w:vertAlign w:val="subscript"/>
        </w:rPr>
        <w:t xml:space="preserve">2</w:t>
      </w:r>
      <w:r>
        <w:t xml:space="preserve"> </w:t>
      </w:r>
      <w:r>
        <w:t xml:space="preserve">bond and finds no ring N–O channel below</w:t>
      </w:r>
      <w:r>
        <w:t xml:space="preserve"> </w:t>
      </w:r>
      <m:oMath>
        <m:r>
          <m:t>180</m:t>
        </m:r>
      </m:oMath>
      <w:r>
        <w:t xml:space="preserve"> kcal/mol on a vertical cleavage from the parent geometry; the literature endocyclic-O–N value (130–155 kJ/mol</w:t>
      </w:r>
      <w:r>
        <w:t xml:space="preserve"> </w:t>
      </w:r>
      <m:oMath>
        <m:r>
          <m:rPr>
            <m:sty m:val="p"/>
          </m:rPr>
          <m:t>≈</m:t>
        </m:r>
      </m:oMath>
      <w:r>
        <w:t xml:space="preserve"> </w:t>
      </w:r>
      <w: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bookmarkEnd w:id="32"/>
    <w:bookmarkStart w:id="33" w:name="X4f25814ef8760bac9b00da35f085c96644d1ad0"/>
    <w:p>
      <w:pPr>
        <w:pStyle w:val="Heading4"/>
        <w:keepNext/>
        <w:keepLines/>
        <w:widowControl w:val="1"/>
      </w:pPr>
      <w:r>
        <w:t xml:space="preserve">3.6 K-J residual decomposition by ρ/HOF sensitivity</w:t>
      </w:r>
    </w:p>
    <w:p>
      <w:pPr>
        <w:pStyle w:val="FirstParagraph"/>
        <w:jc w:val="both"/>
        <w:keepNext w:val="0"/>
        <w:keepLines w:val="0"/>
        <w:widowControl w:val="1"/>
      </w:pPr>
      <w:r>
        <w:t xml:space="preserve">Under the 6-anchor calibration L4's K-J</w:t>
      </w:r>
      <w:r>
        <w:t xml:space="preserve"> </w:t>
      </w:r>
      <m:oMath>
        <m:r>
          <m:t>D</m:t>
        </m:r>
      </m:oMath>
      <w:r>
        <w:t xml:space="preserve"> </w:t>
      </w:r>
      <w:r>
        <w:t xml:space="preserve">is</w:t>
      </w:r>
      <w:r>
        <w:t xml:space="preserve"> </w:t>
      </w:r>
      <m:oMath>
        <m:r>
          <m:t>6.71</m:t>
        </m:r>
      </m:oMath>
      <w:r>
        <w:t xml:space="preserve"> km/s against a 3D-CNN prediction of</w:t>
      </w:r>
      <w:r>
        <w:t xml:space="preserve"> </w:t>
      </w:r>
      <m:oMath>
        <m:r>
          <m:t>8.98</m:t>
        </m:r>
      </m:oMath>
      <w:r>
        <w:t xml:space="preserve"> km/s,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km/s (Table 3.2).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ImageCaption"/>
        <w:spacing w:before="80" w:after="120" w:line="240" w:lineRule="auto"/>
        <w:jc w:val="center"/>
        <w:keepNext w:val="0"/>
        <w:keepLines/>
        <w:widowControl w:val="1"/>
      </w:pPr>
      <w:r>
        <w:rPr>
          <w:b/>
          <w:bCs/>
        </w:rPr>
        <w:t xml:space="preserve">Table 3.3.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km/s, 6-anchor-calibrated K-J</w:t>
      </w:r>
      <w:r>
        <w:t xml:space="preserve"> </w:t>
      </w:r>
      <m:oMath>
        <m:r>
          <m:t>D</m:t>
        </m:r>
      </m:oMath>
      <w:r>
        <w:t xml:space="preserve">=6.71 km/s, residual = </w:t>
      </w:r>
      <m:oMath>
        <m:r>
          <m:rPr>
            <m:sty m:val="p"/>
          </m:rPr>
          <m:t>−</m:t>
        </m:r>
        <m:r>
          <m:t>2.27</m:t>
        </m:r>
      </m:oMath>
      <w:r>
        <w:t xml:space="preserve"> km/s).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Table"/>
        <w:tblW w:type="pct" w:w="5000"/>
        <w:jc w:val="center"/>
        <w:tblLook w:firstRow="1" w:lastRow="0" w:firstColumn="0" w:lastColumn="0" w:noHBand="0" w:noVBand="0" w:val="0020"/>
        <w:tblCaption w:val="Table 3.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 residual via ρ alone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20"/>
              </w:rPr>
              <w:t xml:space="preserve"> g/cm</w:t>
            </w:r>
            <w:r>
              <w:rPr>
                <w:rFonts w:ascii="Times New Roman" w:hAnsi="Times New Roman"/>
                <w:sz w:val="20"/>
                <w:vertAlign w:val="superscript"/>
              </w:rPr>
              <w:t xml:space="preserve">3</w:t>
            </w:r>
            <w:r>
              <w:rPr>
                <w:rFonts w:ascii="Times New Roman" w:hAnsi="Times New Roman"/>
                <w:sz w:val="20"/>
              </w:rPr>
              <w:t xml:space="preserve">; L4 calibrated</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would have to drop from 1.94 to 1.02 g/cm</w:t>
            </w:r>
            <w:r>
              <w:rPr>
                <w:rFonts w:ascii="Times New Roman" w:hAnsi="Times New Roman"/>
                <w:sz w:val="20"/>
                <w:vertAlign w:val="super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Lighter than water; chemically implausible for any nitrogen-rich CHNO crystal</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 residual via HOF alone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ty m:val="p"/>
                </m:rPr>
                <m:t>Δ</m:t>
              </m:r>
            </m:oMath>
            <w:r>
              <w:rPr>
                <w:rFonts w:ascii="Times New Roman" w:hAnsi="Times New Roman"/>
                <w:sz w:val="20"/>
              </w:rPr>
              <w:t xml:space="preserve">HOF</w:t>
            </w:r>
            <w:r>
              <w:rPr>
                <w:rFonts w:ascii="Times New Roman" w:hAnsi="Times New Roman"/>
                <w:sz w:val="20"/>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20"/>
              </w:rPr>
              <w:t xml:space="preserve"> kJ/mol; L4 calibrated HOF would have to rise from +292 to +1324 kJ/mol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Far above CL-20's HOF (~+460 kJ/mol); physically extreme for a 13-atom CHNO neutral</w:t>
            </w:r>
          </w:p>
        </w:tc>
      </w:tr>
    </w:tbl>
    <w:p>
      <w:pPr>
        <w:pStyle w:val="BodyText"/>
        <w:spacing w:before="16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km/s per 100 kJ/mol.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bookmarkEnd w:id="33"/>
    <w:bookmarkStart w:id="34" w:name="Xb8d02889d1e9ad7ebd27c17191d0bb8418eb4b9"/>
    <w:p>
      <w:pPr>
        <w:pStyle w:val="Heading4"/>
        <w:keepNext/>
        <w:keepLines/>
        <w:widowControl w:val="1"/>
      </w:pPr>
      <w:r>
        <w:t xml:space="preserve">3.7 Population-level N-fraction stratification</w:t>
      </w:r>
    </w:p>
    <w:p>
      <w:pPr>
        <w:pStyle w:val="FirstParagraph"/>
        <w:jc w:val="both"/>
        <w:keepNext w:val="0"/>
        <w:keepLines w:val="0"/>
        <w:widowControl w:val="1"/>
      </w:pP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ImageCaption"/>
        <w:spacing w:before="80" w:after="120" w:line="240" w:lineRule="auto"/>
        <w:jc w:val="center"/>
        <w:keepNext w:val="0"/>
        <w:keepLines/>
        <w:widowControl w:val="1"/>
      </w:pPr>
      <w:r>
        <w:rPr>
          <w:b/>
          <w:bCs/>
        </w:rPr>
        <w:t xml:space="preserve">Table 3.4.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Table"/>
        <w:tblW w:type="pct" w:w="5000"/>
        <w:jc w:val="center"/>
        <w:tblLook w:firstRow="1" w:lastRow="0" w:firstColumn="0" w:lastColumn="0" w:noHBand="0" w:noVBand="0" w:val="0020"/>
        <w:tblCaption w:val="Table 3.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[0.55–1.00]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7.66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+0.54</w:t>
            </w:r>
          </w:p>
        </w:tc>
      </w:tr>
    </w:tbl>
    <w:p>
      <w:pPr>
        <w:pStyle w:val="BodyText"/>
        <w:spacing w:before="16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km/s 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Results (main paper) attribution is consistent with the population-level monotone N-fraction trend. Note: the mean K-J residual in the [0.55–1.00] N-fraction bin of Table 3.4 is positive (+0.54 km/s), indicating apparent K-J over-prediction at this extreme N-fraction; this sign flip is an artifact of the open-form Q approximation (Q ≈ ΔHf/MW without product-side subtraction) and does not apply to the closed-form K-J used per-lead in Table 3.2.</w:t>
      </w:r>
    </w:p>
    <w:bookmarkEnd w:id="34"/>
    <w:bookmarkStart w:id="35" w:name="scaffold-similarity-to-labelled-master"/>
    <w:p>
      <w:pPr>
        <w:pStyle w:val="Heading4"/>
        <w:keepNext/>
        <w:keepLines/>
        <w:widowControl w:val="1"/>
      </w:pPr>
      <w:r>
        <w:t xml:space="preserve">3.8 Scaffold-similarity to labelled master</w:t>
      </w:r>
    </w:p>
    <w:p>
      <w:pPr>
        <w:pStyle w:val="FirstParagraph"/>
        <w:jc w:val="both"/>
        <w:keepNext w:val="0"/>
        <w:keepLines w:val="0"/>
        <w:widowControl w:val="1"/>
      </w:pPr>
      <w:r>
        <w:t xml:space="preserve">Beyond Tanimoto on full-molecule fingerprints (Results “Novelty and synthesisability” (main paper)), we report the GuacaMol-style "scaf" metric (mean and max nearest-neighbour Tanimoto on Bemis–Murcko scaffold fingerprints) against a 5 000-row sample of the labelled master:</w:t>
      </w:r>
    </w:p>
    <w:p>
      <w:pPr>
        <w:pStyle w:val="ImageCaption"/>
        <w:spacing w:before="80" w:after="120" w:line="240" w:lineRule="auto"/>
        <w:jc w:val="center"/>
        <w:keepNext w:val="0"/>
        <w:keepLines/>
        <w:widowControl w:val="1"/>
      </w:pPr>
      <w:r>
        <w:rPr>
          <w:b/>
          <w:bCs/>
        </w:rPr>
        <w:t xml:space="preserve">Table 3.5.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3.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503</w:t>
            </w:r>
          </w:p>
        </w:tc>
      </w:tr>
    </w:tbl>
    <w:p>
      <w:pPr>
        <w:pStyle w:val="BodyText"/>
        <w:spacing w:before="16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Results “Novelty and synthesisability” (main paper)). The max=1.00 reflects sanity-check rediscoveries (e.g., 1,2-isoxazole, 1,2,4-tetrazole, oxadiazole, 1,2,3,4-tetrazine). C2 (viab+sens+hazard) has the lowest scaffold-NN mean (0.372); C3 (hazard-only) has the highest scaffold count (503).</w:t>
      </w:r>
    </w:p>
    <w:bookmarkEnd w:id="35"/>
    <w:bookmarkStart w:id="36" w:name="X6c153f4b1b99e3c2dbbbee9ec940808188aad67"/>
    <w:p>
      <w:pPr>
        <w:pStyle w:val="Heading4"/>
        <w:keepNext/>
        <w:keepLines/>
        <w:widowControl w:val="1"/>
      </w:pPr>
      <w:r>
        <w:t xml:space="preserve">3.9 Bondi-vdW packing-factor bracket on L1 and E1 (T2 cross-check)</w:t>
      </w:r>
    </w:p>
    <w:p>
      <w:pPr>
        <w:pStyle w:val="FirstParagraph"/>
        <w:jc w:val="both"/>
        <w:keepNext w:val="0"/>
        <w:keepLines w:val="0"/>
        <w:widowControl w:val="1"/>
      </w:pP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Results (main paper)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experiments/t2_density/</w:t>
      </w:r>
      <w:r>
        <w:t xml:space="preserve">.</w:t>
      </w:r>
    </w:p>
    <w:bookmarkEnd w:id="36"/>
    <w:bookmarkStart w:id="37" w:name="X897b672514ce268477bf3965f2ad182be5c793b"/>
    <w:p>
      <w:pPr>
        <w:pStyle w:val="Heading4"/>
        <w:keepNext/>
        <w:keepLines/>
        <w:widowControl w:val="1"/>
      </w:pPr>
      <w:r>
        <w:t xml:space="preserve">3.10 GFN2-xTB weakest-bond BDE on L1 and E1 (T1 cross-check)</w:t>
      </w:r>
    </w:p>
    <w:p>
      <w:pPr>
        <w:pStyle w:val="FirstParagraph"/>
        <w:jc w:val="both"/>
        <w:keepNext w:val="0"/>
        <w:keepLines w:val="0"/>
        <w:widowControl w:val="1"/>
      </w:pP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kcal/mol</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kcal/mol; ring N–O bonds are at 170–186 kcal/mol (the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kcal/mol</w:t>
      </w:r>
      <w:r>
        <w:t xml:space="preserve"> </w:t>
      </w:r>
      <w:r>
        <w:t xml:space="preserve">on the exocyclic C–NO</w:t>
      </w:r>
      <w:r>
        <w:rPr>
          <w:vertAlign w:val="subscript"/>
        </w:rPr>
        <w:t xml:space="preserve">2</w:t>
      </w:r>
      <w:r>
        <w:t xml:space="preserve"> </w:t>
      </w:r>
      <w:r>
        <w:t xml:space="preserve">bond, with no ring N–O channel below 180 kcal/mol. Relative to the Politzer–Murray Ar–NO</w:t>
      </w:r>
      <w:r>
        <w:rPr>
          <w:vertAlign w:val="subscript"/>
        </w:rPr>
        <w:t xml:space="preserve">2</w:t>
      </w:r>
      <w:r>
        <w:t xml:space="preserve"> </w:t>
      </w:r>
      <w:r>
        <w:t xml:space="preserve">typical (</w:t>
      </w:r>
      <m:oMath>
        <m:r>
          <m:rPr>
            <m:sty m:val="p"/>
          </m:rPr>
          <m:t>∼</m:t>
        </m:r>
      </m:oMath>
      <w: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t xml:space="preserve"> </w:t>
      </w:r>
      <w:r>
        <w:rPr>
          <w:rStyle w:val="VerbatimChar"/>
        </w:rPr>
        <w:t xml:space="preserve">experiments/t1_bde/</w:t>
      </w:r>
      <w:r>
        <w:t xml:space="preserve">.</w:t>
      </w:r>
    </w:p>
    <w:bookmarkEnd w:id="37"/>
    <w:bookmarkStart w:id="38" w:name="dntf-7th-anchor-extension-attempt"/>
    <w:p>
      <w:pPr>
        <w:pStyle w:val="Heading4"/>
        <w:keepNext/>
        <w:keepLines/>
        <w:widowControl w:val="1"/>
      </w:pPr>
      <w:r>
        <w:t xml:space="preserve">3.11 DNTF 7th-anchor extension attempt</w:t>
      </w:r>
    </w:p>
    <w:p>
      <w:pPr>
        <w:pStyle w:val="FirstParagraph"/>
        <w:jc w:val="both"/>
        <w:keepNext w:val="0"/>
        <w:keepLines w:val="0"/>
        <w:widowControl w:val="1"/>
      </w:pP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km/s)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kJ/mol for DNTF (versus</w:t>
      </w:r>
      <w:r>
        <w:t xml:space="preserve"> </w:t>
      </w:r>
      <m:oMath>
        <m:r>
          <m:rPr>
            <m:sty m:val="p"/>
          </m:rPr>
          <m:t>±</m:t>
        </m:r>
        <m:r>
          <m:t>0.025</m:t>
        </m:r>
      </m:oMath>
      <w:r>
        <w:t xml:space="preserve">–</w:t>
      </w:r>
      <m:oMath>
        <m:r>
          <m:t>0.049</m:t>
        </m:r>
      </m:oMath>
      <w:r>
        <w:t xml:space="preserve"> g/cm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bookmarkEnd w:id="38"/>
    <w:bookmarkStart w:id="40" w:name="stage-3-xtb-triage-recipe"/>
    <w:p>
      <w:pPr>
        <w:pStyle w:val="Heading4"/>
        <w:keepNext/>
        <w:keepLines/>
        <w:widowControl w:val="1"/>
      </w:pPr>
      <w:r>
        <w:t xml:space="preserve">3.12 Stage-3 xTB triage recipe</w:t>
      </w:r>
    </w:p>
    <w:p>
      <w:pPr>
        <w:pStyle w:val="FirstParagraph"/>
        <w:jc w:val="both"/>
        <w:keepNext w:val="0"/>
        <w:keepLines w:val="0"/>
        <w:widowControl w:val="1"/>
      </w:pPr>
      <w:r>
        <w:t xml:space="preserve">The Stage-3 xTB triage referenced in Results (main paper) follows the standard pre-experimental screening recipe for computational energetic-materials chemistry: starting from canonical SMILES we run an RDKit ETKDGv3 conformer search, MMFF94 minimisation, and then xTB</w:t>
      </w:r>
      <w:r>
        <w:t xml:space="preserve"> </w:t>
      </w:r>
      <w:hyperlink r:id="rId3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[13]</w:t>
        </w:r>
      </w:hyperlink>
      <w:r>
        <w:t xml:space="preserve">, so we treat the gap as a triage signal rather than a final verdict; molecules clearing the 1.5 eV gate are promoted to Stage 4 DFT, and motif-level shock and friction risks are caught by the parallel SMARTS gate (Stage 1, Methods; see also Methods (main paper)).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3.1–3.4 above).</w:t>
      </w:r>
    </w:p>
    <w:bookmarkEnd w:id="40"/>
    <w:bookmarkStart w:id="41" w:name="independent-cj-cross-check"/>
    <w:p>
      <w:pPr>
        <w:pStyle w:val="Heading4"/>
        <w:keepNext/>
        <w:keepLines/>
        <w:widowControl w:val="1"/>
      </w:pPr>
      <w:r>
        <w:t xml:space="preserve">3.13 Independent CJ cross-check</w:t>
      </w:r>
    </w:p>
    <w:p>
      <w:pPr>
        <w:pStyle w:val="FirstParagraph"/>
        <w:jc w:val="both"/>
        <w:keepNext w:val="0"/>
        <w:keepLines w:val="0"/>
        <w:widowControl w:val="1"/>
      </w:pPr>
      <w:r>
        <w:t xml:space="preserve">A thermochemical-equilibrium Cantera ideal-gas Chapman–Jouguet recompute is provided as an independent relative-ranking sanity check on the Results (main paper)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km/s vs experimental</w:t>
      </w:r>
      <w:r>
        <w:t xml:space="preserve"> </w:t>
      </w:r>
      <m:oMath>
        <m:r>
          <m:t>8.75</m:t>
        </m:r>
      </m:oMath>
      <w: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Discussion (main paper)).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km/s per 100 kJ/mol; see Table 3.2)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41"/>
    <w:bookmarkEnd w:id="42"/>
    <w:bookmarkStart w:id="55" w:name="si-note-4"/>
    <w:p>
      <w:pPr>
        <w:pStyle w:val="Heading3"/>
        <w:keepNext/>
        <w:keepLines/>
        <w:widowControl w:val="1"/>
      </w:pPr>
      <w:r>
        <w:t xml:space="preserve">Supplementary Note 4: Reproducibility details and superseded ablations</w:t>
      </w:r>
    </w:p>
    <w:p>
      <w:pPr>
        <w:pStyle w:val="FirstParagraph"/>
        <w:jc w:val="both"/>
        <w:keepNext w:val="0"/>
        <w:keepLines w:val="0"/>
        <w:widowControl w:val="1"/>
      </w:pPr>
      <w:r>
        <w:t xml:space="preserve">This Supplementary Note collects implementation-specific names, version codes, hardware configurations, hyperparameter ablations, and superseded results that are not required for the body claims but are needed for full reproducibility.</w:t>
      </w:r>
    </w:p>
    <w:bookmarkStart w:id="43" w:name="score-model-variants"/>
    <w:p>
      <w:pPr>
        <w:pStyle w:val="Heading4"/>
        <w:keepNext/>
        <w:keepLines/>
        <w:widowControl w:val="1"/>
      </w:pPr>
      <w:r>
        <w:t xml:space="preserve">4.1 Score-model variants</w:t>
      </w:r>
    </w:p>
    <w:p>
      <w:pPr>
        <w:pStyle w:val="FirstParagraph"/>
        <w:jc w:val="both"/>
        <w:keepNext w:val="0"/>
        <w:keepLines w:val="0"/>
        <w:widowControl w:val="1"/>
      </w:pPr>
      <w:r>
        <w:t xml:space="preserve">Two score-model checkpoints are released on Zenodo: the production 6-head hazard-aware model (</w:t>
      </w:r>
      <w:r>
        <w:rPr>
          <w:rStyle w:val="VerbatimChar"/>
        </w:rPr>
        <w:t xml:space="preserve">score_model_v3f</w:t>
      </w:r>
      <w:r>
        <w:t xml:space="preserve"> </w:t>
      </w:r>
      <w:r>
        <w:t xml:space="preserve">in the archive; matches Discussion (main paper) + Table 2.5)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bookmarkEnd w:id="43"/>
    <w:bookmarkStart w:id="44" w:name="compute-budget"/>
    <w:p>
      <w:pPr>
        <w:pStyle w:val="Heading4"/>
        <w:keepNext/>
        <w:keepLines/>
        <w:widowControl w:val="1"/>
      </w:pPr>
      <w:r>
        <w:t xml:space="preserve">4.2 Compute budget</w:t>
      </w:r>
    </w:p>
    <w:p>
      <w:pPr>
        <w:pStyle w:val="FirstParagraph"/>
        <w:jc w:val="both"/>
        <w:keepNext w:val="0"/>
        <w:keepLines w:val="0"/>
        <w:widowControl w:val="1"/>
      </w:pPr>
      <w:r>
        <w:t xml:space="preserve">Single-seed pool=40 000 head-to-head: ~8 min on a single consumer GPU; 4-condition × 3-seed pool=10 000: ~25 min. Full DFT audit (15–25-atom CHNO molecules): ~1 GPU-hour per molecule. Full DGLD pipeline (corpus to merged top-100): ~2 GPU-hours.</w:t>
      </w:r>
    </w:p>
    <w:bookmarkEnd w:id="44"/>
    <w:bookmarkStart w:id="45" w:name="hyperparameter-values"/>
    <w:p>
      <w:pPr>
        <w:pStyle w:val="Heading4"/>
        <w:keepNext/>
        <w:keepLines/>
        <w:widowControl w:val="1"/>
      </w:pPr>
      <w:r>
        <w:t xml:space="preserve">4.3 Hyperparameter values</w:t>
      </w:r>
    </w:p>
    <w:p>
      <w:pPr>
        <w:pStyle w:val="FirstParagraph"/>
        <w:jc w:val="both"/>
        <w:keepNext w:val="0"/>
        <w:keepLines w:val="0"/>
        <w:widowControl w:val="1"/>
      </w:pPr>
      <w:r>
        <w:t xml:space="preserve">All training, sampling, and reranker hyperparameters are tabulated in Supplementary Note 2 (Tables 2.1a–c and the production recipe Table 2.5).</w:t>
      </w:r>
    </w:p>
    <w:bookmarkEnd w:id="45"/>
    <w:bookmarkStart w:id="46" w:name="high-tail-oversampling-ablation"/>
    <w:p>
      <w:pPr>
        <w:pStyle w:val="Heading4"/>
        <w:keepNext/>
        <w:keepLines/>
        <w:widowControl w:val="1"/>
      </w:pPr>
      <w:r>
        <w:t xml:space="preserve">4.4 High-tail oversampling ablation</w:t>
      </w:r>
    </w:p>
    <w:p>
      <w:pPr>
        <w:pStyle w:val="FirstParagraph"/>
        <w:jc w:val="both"/>
        <w:keepNext w:val="0"/>
        <w:keepLines w:val="0"/>
        <w:widowControl w:val="1"/>
      </w:pPr>
      <w:r>
        <w:t xml:space="preserve">Reverting the asymmetric oversampling of Methods “Dataset and four-tier label hierarchy” (main paper) produces leads with a 0.4 km/s lower mean predicted detonation velocity at matched pool size and matched downstream pipeline.</w:t>
      </w:r>
    </w:p>
    <w:bookmarkEnd w:id="46"/>
    <w:bookmarkStart w:id="47" w:name="diagnostic-protocol"/>
    <w:p>
      <w:pPr>
        <w:pStyle w:val="Heading4"/>
        <w:keepNext/>
        <w:keepLines/>
        <w:widowControl w:val="1"/>
      </w:pPr>
      <w:r>
        <w:t xml:space="preserve">4.5 Diagnostic protocol</w:t>
      </w:r>
    </w:p>
    <w:p>
      <w:pPr>
        <w:pStyle w:val="FirstParagraph"/>
        <w:jc w:val="both"/>
        <w:keepNext w:val="0"/>
        <w:keepLines w:val="0"/>
        <w:widowControl w:val="1"/>
      </w:pPr>
      <w:r>
        <w:t xml:space="preserve">The guidance patching of Methods (main paper)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bookmarkEnd w:id="47"/>
    <w:bookmarkStart w:id="48" w:name="X1804c68d55729c01ed098e9359466414bb8c735"/>
    <w:p>
      <w:pPr>
        <w:pStyle w:val="Heading4"/>
        <w:keepNext/>
        <w:keepLines/>
        <w:widowControl w:val="1"/>
      </w:pPr>
      <w:r>
        <w:t xml:space="preserve">4.6 Strengthened SMARTS catalog: per-class breakdown</w:t>
      </w:r>
    </w:p>
    <w:p>
      <w:pPr>
        <w:pStyle w:val="FirstParagraph"/>
        <w:jc w:val="both"/>
        <w:keepNext w:val="0"/>
        <w:keepLines w:val="0"/>
        <w:widowControl w:val="1"/>
      </w:pPr>
      <w:r>
        <w:t xml:space="preserve">Two motif classes well-known to the energetic-materials community as shock-sensitive or thermally unstable were added to the SMARTS catalog (Results “Novelty and synthesisability” (main paper)):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ImageCaption"/>
        <w:spacing w:before="80" w:after="120" w:line="240" w:lineRule="auto"/>
        <w:jc w:val="center"/>
        <w:keepNext w:val="0"/>
        <w:keepLines/>
        <w:widowControl w:val="1"/>
      </w:pPr>
      <w:r>
        <w:rPr>
          <w:b/>
          <w:bCs/>
        </w:rPr>
        <w:t xml:space="preserve">Table 4.3.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4.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N-nitroimine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terminal azo−NO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azo−amino−NO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cumulated cyclopropene (residual)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Total rejected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23 / 100</w:t>
            </w:r>
          </w:p>
        </w:tc>
      </w:tr>
    </w:tbl>
    <w:p>
      <w:pPr>
        <w:pStyle w:val="BodyText"/>
        <w:spacing w:before="16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End w:id="48"/>
    <w:bookmarkStart w:id="49" w:name="cfg-scale-ablation"/>
    <w:p>
      <w:pPr>
        <w:pStyle w:val="Heading4"/>
        <w:keepNext/>
        <w:keepLines/>
        <w:widowControl w:val="1"/>
      </w:pPr>
      <w:r>
        <w:t xml:space="preserve">4.7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(Extended Data Fig. 3 (main paper)).</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density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heat_of_formation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+267.75)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detonation_velocity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+7.86)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detonation_pressure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q90 (target +26.57)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26</w:t>
            </w:r>
          </w:p>
        </w:tc>
      </w:tr>
    </w:tbl>
    <w:bookmarkEnd w:id="49"/>
    <w:bookmarkStart w:id="53" w:name="reproducibility-across-pool-sizes"/>
    <w:p>
      <w:pPr>
        <w:pStyle w:val="Heading4"/>
        <w:keepNext/>
        <w:keepLines/>
        <w:widowControl w:val="1"/>
      </w:pPr>
      <w:r>
        <w:t xml:space="preserve">4.8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km/s)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Methods; see also Methods (main paper). The composite-score distribution over the top-200 of an unguided pool=40 000 run is shown in Figure 4.8.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Methods; see also Methods (main paper).</w:t>
      </w:r>
    </w:p>
    <w:p>
      <w:pPr>
        <w:pStyle w:val="BodyText"/>
        <w:jc w:val="center"/>
        <w:keepNext/>
        <w:keepLines/>
        <w:widowControl w:val="1"/>
      </w:pPr>
      <w:r>
        <w:drawing>
          <wp:inline>
            <wp:extent cx="5943600" cy="3146886"/>
            <wp:effectExtent b="0" l="0" r="0" t="0"/>
            <wp:docPr descr="Score distribution" title="" id="51" name="Picture"/>
            <a:graphic>
              <a:graphicData uri="http://schemas.openxmlformats.org/drawingml/2006/picture">
                <pic:pic>
                  <pic:nvPicPr>
                    <pic:cNvPr descr="figs/fig5_score_dist.png" id="52" name="Picture"/>
                    <pic:cNvPicPr>
                      <a:picLocks noChangeArrowheads="1" noChangeAspect="1"/>
                    </pic:cNvPicPr>
                  </pic:nvPicPr>
                  <pic:blipFill>
                    <a:blip r:embed="rId50"/>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4.8.</w:t>
      </w:r>
      <w:r>
        <w:t xml:space="preserve"> </w:t>
      </w:r>
      <w:r>
        <w:t xml:space="preserve">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the Methods; see also Methods (main paper)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(visualised as Extended Data Fig. 8 in the main paper). The Pareto reranker (scaffold-aware composite) is the dominant ranker; the largest contributor is the smallest unguided pool, while classifier-guided runs supply scaffold diversity at the top end. The trinitro-isoxazole rank-1 itself comes from a guided run.</w:t>
      </w:r>
    </w:p>
    <w:bookmarkEnd w:id="53"/>
    <w:bookmarkStart w:id="54" w:name="e2-filter-scope-note"/>
    <w:p>
      <w:pPr>
        <w:pStyle w:val="Heading4"/>
        <w:keepNext/>
        <w:keepLines/>
        <w:widowControl w:val="1"/>
      </w:pPr>
      <w:r>
        <w:t xml:space="preserve">4.9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the Methods; see also Methods (main paper)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is an upper-bound estimate only.</w:t>
      </w:r>
    </w:p>
    <w:bookmarkEnd w:id="54"/>
    <w:bookmarkEnd w:id="55"/>
    <w:bookmarkStart w:id="56" w:name="si-note-5"/>
    <w:p>
      <w:pPr>
        <w:pStyle w:val="Heading3"/>
        <w:keepNext/>
        <w:keepLines/>
        <w:widowControl w:val="1"/>
      </w:pPr>
      <w:r>
        <w:t xml:space="preserve">Supplementary Note 5: Baseline-method example outputs</w:t>
      </w:r>
    </w:p>
    <w:p>
      <w:pPr>
        <w:pStyle w:val="FirstParagraph"/>
        <w:jc w:val="both"/>
        <w:keepNext w:val="0"/>
        <w:keepLines w:val="0"/>
        <w:widowControl w:val="1"/>
      </w:pPr>
      <w:r>
        <w:t xml:space="preserve">Tables 5.1 and 5.2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ImageCaption"/>
        <w:spacing w:before="80" w:after="120" w:line="240" w:lineRule="auto"/>
        <w:jc w:val="center"/>
        <w:keepNext w:val="0"/>
        <w:keepLines/>
        <w:widowControl w:val="1"/>
      </w:pPr>
      <w:r>
        <w:rPr>
          <w:b/>
          <w:bCs/>
        </w:rPr>
        <w:t xml:space="preserve">Table 5.1.</w:t>
      </w:r>
      <w:r>
        <w:t xml:space="preserve"> </w:t>
      </w:r>
      <w: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5.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CO[C@@H]1CCN(CC23CCC(N)(CC2)C3)C[C@@H]1C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N=c1cc[nH]cc1-c1nc(N)nc(N2C[C@H]3CN=C(N4CCCC4)[C@H]3C2)n1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w:t>
            </w:r>
            <w:r>
              <w:rPr>
                <w:rFonts w:ascii="Times New Roman" w:hAnsi="Times New Roman"/>
                <w:sz w:val="20"/>
                <w:vertAlign w:val="subscript"/>
              </w:rPr>
              <w:t xml:space="preserve">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365.21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CC(CN1C[C@H](CO)C2(CCC2)C1)=C1CCC1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25</w:t>
            </w:r>
            <w:r>
              <w:rPr>
                <w:rFonts w:ascii="Times New Roman" w:hAnsi="Times New Roman"/>
                <w:sz w:val="20"/>
              </w:rPr>
              <w:t xml:space="preserve">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C[C@H]1OCCC2=Nc3[nH]c4c(c3CCC[C@@H]21)[C@](C)(O)C4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16</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CC(C)(C)CN1CC(C)(C)C[C@]2(C)C(=O)N3C(=N1)C(=O)NC[C@]3(C)[C@@H]2N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CC(C)CN1CCN(c2nnc(-c3cncnc3)n2C[C@]2(C)CCCO2)CC1=O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20</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399.24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N[C@]1(CC2COCCOC2)CO[C@H](C2CC2)C1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13</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Cc1c(C(=O)N(C)C[C@@H]2CCN(C(=O)Cc3cnoc3)C2)ccn1C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344.18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O=C(CCn1cnccc1=O)NC1(CNC[C@H]2CC[C@H]3C[C@H]3C2)CCCC1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21</w:t>
            </w:r>
            <w:r>
              <w:rPr>
                <w:rFonts w:ascii="Times New Roman" w:hAnsi="Times New Roman"/>
                <w:sz w:val="20"/>
              </w:rPr>
              <w:t xml:space="preserve">H</w:t>
            </w:r>
            <w:r>
              <w:rPr>
                <w:rFonts w:ascii="Times New Roman" w:hAnsi="Times New Roman"/>
                <w:sz w:val="20"/>
                <w:vertAlign w:val="subscript"/>
              </w:rPr>
              <w:t xml:space="preserve">32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CO[C@@H]1CCCCN(c2nnc([C@]3(C)CNC(=O)C3)n2CC2CC2)C1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347.23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bl>
    <w:p/>
    <w:p>
      <w:pPr>
        <w:pStyle w:val="ImageCaption"/>
        <w:spacing w:before="80" w:after="120" w:line="240" w:lineRule="auto"/>
        <w:jc w:val="center"/>
        <w:keepNext w:val="0"/>
        <w:keepLines/>
        <w:widowControl w:val="1"/>
      </w:pPr>
      <w:r>
        <w:rPr>
          <w:b/>
          <w:bCs/>
        </w:rPr>
        <w:t xml:space="preserve">Table 5.2.</w:t>
      </w:r>
      <w:r>
        <w:t xml:space="preserve"> </w:t>
      </w:r>
      <w:r>
        <w:t xml:space="preserve">Ten most-novel CHNO-neutral candidates from the SMILES-LSTM pool. Columns as Table 5.1.</w:t>
      </w:r>
    </w:p>
    <w:tbl>
      <w:tblPr>
        <w:tblStyle w:val="Table"/>
        <w:tblW w:type="pct" w:w="5000"/>
        <w:jc w:val="center"/>
        <w:tblLook w:firstRow="1" w:lastRow="0" w:firstColumn="0" w:lastColumn="0" w:noHBand="0" w:noVBand="0" w:val="0020"/>
        <w:tblCaption w:val="Table 5.2. Ten most-novel CHNO-neutral candidates from the SMILES-LSTM pool. Columns as Table 5.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O=C(O[C@@H]1C[C@H]2CC[C@H]3O[C@]2(C1)C1=C3CCCC1)C(=O)C1CC1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CC(=N)OC(=O)OC12OC(OCCO)C1O2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11</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CC[C@H](c1cccc2ccccc12)[C@@H](/C=C/C[C@]1(C)C(=O)N2C(=O)N=C(OC)O[C@H]2[C@@H]1C(OC)=C(C)O)COC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CCN1N=C2OC(=O)N=CN=C2C(O)=NC1=NO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8</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CC(=O)[C@@H]1[C@@H](O)[C@H](C(C)(C)C)[C@@H]1N1C(=O)C(=O)N(C)C(=O)CN1[N+](=O)[O-]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CC1N=C2OC(=O)OC2OC(Oc2nnno2)COC1C#N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10</w:t>
            </w:r>
            <w:r>
              <w:rPr>
                <w:rFonts w:ascii="Times New Roman" w:hAnsi="Times New Roman"/>
                <w:sz w:val="20"/>
              </w:rPr>
              <w:t xml:space="preserve">H</w:t>
            </w:r>
            <w:r>
              <w:rPr>
                <w:rFonts w:ascii="Times New Roman" w:hAnsi="Times New Roman"/>
                <w:sz w:val="20"/>
                <w:vertAlign w:val="subscript"/>
              </w:rPr>
              <w:t xml:space="preserve">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311.05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C[C@@H]([C@@H]1C=C(/C=C\C=C2\CCCCN2C)[C@]2(C=Nc3ccccc32)C(=O)[C@@H]1OCc1ccccc1)[N+](=O)[O-]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C=C1N=C2OC(=O)N2C(=O)COC(=O)NC1=O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CC12OC(O1)C(=O)C(=O)N(C=O)OCC2=O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7</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COC(=O)N1CCCC(C)(C)N1O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16</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188.12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r>
    </w:tbl>
    <w:bookmarkEnd w:id="56"/>
    <w:bookmarkStart w:id="66" w:name="si-note-6"/>
    <w:p>
      <w:pPr>
        <w:pStyle w:val="Heading3"/>
        <w:keepNext/>
        <w:keepLines/>
        <w:widowControl w:val="1"/>
      </w:pPr>
      <w:r>
        <w:t xml:space="preserve">Supplementary Note 6: Detailed ablations</w:t>
      </w:r>
    </w:p>
    <w:p>
      <w:pPr>
        <w:pStyle w:val="FirstParagraph"/>
        <w:jc w:val="both"/>
        <w:keepNext w:val="0"/>
        <w:keepLines w:val="0"/>
        <w:widowControl w:val="1"/>
      </w:pPr>
      <w:r>
        <w:t xml:space="preserve">This Note collects the full prose, sub-tables, and figures for each of the seven ablations whose headline numbers are summarised in main Fig. 5 (Results, “Component contributions”, main paper).</w:t>
      </w:r>
    </w:p>
    <w:bookmarkStart w:id="57" w:name="Xca9e88c1d5dfa5ede0931bcbc9239a74ff9a73b"/>
    <w:p>
      <w:pPr>
        <w:pStyle w:val="Heading4"/>
        <w:keepNext/>
        <w:keepLines/>
        <w:widowControl w:val="1"/>
      </w:pPr>
      <w:r>
        <w:t xml:space="preserve">6.1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the Methods (main paper)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The SC-gradient sweep and the heuristic-vs-literature sensitivity-head ablation (Supplementary Note 2.2) are detailed in Supplementary Note 6.4 below.</w:t>
      </w:r>
    </w:p>
    <w:p>
      <w:pPr>
        <w:pStyle w:val="ImageCaption"/>
        <w:spacing w:before="80" w:after="120" w:line="240" w:lineRule="auto"/>
        <w:jc w:val="center"/>
        <w:keepNext w:val="0"/>
        <w:keepLines/>
        <w:widowControl w:val="1"/>
      </w:pPr>
      <w:r>
        <w:rPr>
          <w:b/>
          <w:bCs/>
        </w:rPr>
        <w:t xml:space="preserve">Table 6.1.</w:t>
      </w:r>
      <w:r>
        <w:t xml:space="preserve"> </w:t>
      </w:r>
      <w:r>
        <w:t xml:space="preserve">Hard-negative budget effect on the held-out 7-anchor / 5-cheat probe.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6.1. Hard-negative budget effect on the held-out 7-anchor / 5-cheat probe.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 (round-1)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918 (production)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0.74 (−0.10 absolute)</w:t>
            </w:r>
          </w:p>
        </w:tc>
      </w:tr>
    </w:tbl>
    <w:p>
      <w:pPr>
        <w:pStyle w:val="BodyText"/>
        <w:spacing w:before="160"/>
        <w:jc w:val="both"/>
        <w:keepNext w:val="0"/>
        <w:keepLines w:val="0"/>
        <w:widowControl w:val="1"/>
      </w:pPr>
      <w:r>
        <w:rPr>
          <w:b/>
          <w:bCs/>
        </w:rPr>
        <w:t xml:space="preserve">Full per-anchor and per-cheat ranges.</w:t>
      </w:r>
      <w:r>
        <w:t xml:space="preserve"> </w:t>
      </w:r>
      <w:r>
        <w:t xml:space="preserve">We trained two variants of the multi-head model on identical noised-latent inputs to compare hard-negative-augmentation budgets.</w:t>
      </w:r>
      <w:r>
        <w:t xml:space="preserve"> </w:t>
      </w:r>
      <w:r>
        <w:rPr>
          <w:b/>
          <w:bCs/>
        </w:rPr>
        <w:t xml:space="preserve">Budget-137:</w:t>
      </w:r>
      <w:r>
        <w:t xml:space="preserve"> </w:t>
      </w:r>
      <w:r>
        <w:t xml:space="preserve">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r>
        <w:t xml:space="preserve"> </w:t>
      </w:r>
      <w:r>
        <w:rPr>
          <w:b/>
          <w:bCs/>
        </w:rPr>
        <w:t xml:space="preserve">Budget-918 (production):</w:t>
      </w:r>
      <w:r>
        <w:t xml:space="preserve"> </w:t>
      </w:r>
      <w:r>
        <w:t xml:space="preserve">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 On the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bookmarkEnd w:id="57"/>
    <w:bookmarkStart w:id="58" w:name="Xb599e8e4968d4a712cca5d2d19f490c570fcb5e"/>
    <w:p>
      <w:pPr>
        <w:pStyle w:val="Heading4"/>
        <w:keepNext/>
        <w:keepLines/>
        <w:widowControl w:val="1"/>
      </w:pPr>
      <w:r>
        <w:t xml:space="preserve">6.2 Diffusion + guidance prior vs Gaussian-latent control</w:t>
      </w:r>
    </w:p>
    <w:p>
      <w:pPr>
        <w:pStyle w:val="FirstParagraph"/>
        <w:jc w:val="both"/>
        <w:keepNext w:val="0"/>
        <w:keepLines w:val="0"/>
        <w:widowControl w:val="1"/>
      </w:pPr>
      <w:r>
        <w:t xml:space="preserve">An initial 3k-sample Gaussian baseline (LIMO decoder + SMARTS gate + SA/SC caps + Tanimoto window [0.15, 0.65] + Uni-Mol ranking) yields a top-1 composite of 1.10 (</w:t>
      </w:r>
      <m:oMath>
        <m:r>
          <m:t>ρ</m:t>
        </m:r>
        <m:r>
          <m:rPr>
            <m:sty m:val="p"/>
          </m:rPr>
          <m:t>=</m:t>
        </m:r>
        <m:r>
          <m:t>1.89</m:t>
        </m:r>
      </m:oMath>
      <w:r>
        <w:t xml:space="preserve"> g/cm</w:t>
      </w:r>
      <w:r>
        <w:rPr>
          <w:vertAlign w:val="superscript"/>
        </w:rPr>
        <w:t xml:space="preserve">3</w:t>
      </w:r>
      <w:r>
        <w:t xml:space="preserve">,</w:t>
      </w:r>
      <w:r>
        <w:t xml:space="preserve"> </w:t>
      </w:r>
      <m:oMath>
        <m:r>
          <m:t>D</m:t>
        </m:r>
        <m:r>
          <m:rPr>
            <m:sty m:val="p"/>
          </m:rPr>
          <m:t>=</m:t>
        </m:r>
        <m:r>
          <m:t>9.02</m:t>
        </m:r>
      </m:oMath>
      <w:r>
        <w:t xml:space="preserve"> km/s,</w:t>
      </w:r>
      <w:r>
        <w:t xml:space="preserve"> </w:t>
      </w:r>
      <m:oMath>
        <m:r>
          <m:t>P</m:t>
        </m:r>
        <m:r>
          <m:rPr>
            <m:sty m:val="p"/>
          </m:rPr>
          <m:t>=</m:t>
        </m:r>
        <m:r>
          <m:t>35.9</m:t>
        </m:r>
      </m:oMath>
      <w:r>
        <w:t xml:space="preserve"> GPa) with a 15 % pipeline keep rate. A compute-matched 40k run (described below and in Table 6.2)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ImageCaption"/>
        <w:spacing w:before="80" w:after="120" w:line="240" w:lineRule="auto"/>
        <w:jc w:val="center"/>
        <w:keepNext w:val="0"/>
        <w:keepLines/>
        <w:widowControl w:val="1"/>
      </w:pPr>
      <w:r>
        <w:rPr>
          <w:b/>
          <w:bCs/>
        </w:rPr>
        <w:t xml:space="preserve">Table 6.2.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6.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(3k,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O=[N+]([O-])c1ccncc1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(40k, N-frac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ranked by D; N-fraction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on the DGLD scale)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48 % (SMARTS+SA+min-10-HA)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NC=NCNNCCCNn1cnnn1</w:t>
            </w:r>
            <w:r>
              <w:rPr>
                <w:rFonts w:ascii="Times New Roman" w:hAnsi="Times New Roman"/>
                <w:sz w:val="20"/>
              </w:rPr>
              <w:t xml:space="preserve"> </w:t>
            </w:r>
            <w:r>
              <w:rPr>
                <w:rFonts w:ascii="Times New Roman" w:hAnsi="Times New Roman"/>
                <w:sz w:val="20"/>
              </w:rPr>
              <w:t xml:space="preserve">(15-HA tetrazole chain,</w:t>
            </w:r>
            <w:r>
              <w:rPr>
                <w:rFonts w:ascii="Times New Roman" w:hAnsi="Times New Roman"/>
                <w:sz w:val="20"/>
              </w:rPr>
              <w:t xml:space="preserve"> </w:t>
            </w:r>
            <m:oMath>
              <m:sSub>
                <m:e>
                  <m:r>
                    <m:t>f</m:t>
                  </m:r>
                </m:e>
                <m:sub>
                  <m:r>
                    <m:t>N</m:t>
                  </m:r>
                </m:sub>
              </m:sSub>
              <m:r>
                <m:rPr>
                  <m:sty m:val="p"/>
                </m:rPr>
                <m:t>=</m:t>
              </m:r>
              <m:r>
                <m:t>0.60</m:t>
              </m:r>
            </m:oMath>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diffusion + guidance (M7 100k)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O=[N+]([O-])OC1C([N+](=O)[O-])=C1[N+](=O)[O-]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Lift (DGLD over Gaussian 3k)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(better)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8"/>
    <w:bookmarkStart w:id="62" w:name="X720856acb7516bf9327621f2060497439c8316d"/>
    <w:p>
      <w:pPr>
        <w:pStyle w:val="Heading4"/>
        <w:keepNext/>
        <w:keepLines/>
        <w:widowControl w:val="1"/>
      </w:pPr>
      <w:r>
        <w:t xml:space="preserve">6.3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km/s, and top-1</w:t>
      </w:r>
      <w:r>
        <w:t xml:space="preserve"> </w:t>
      </w:r>
      <m:oMath>
        <m:r>
          <m:t>P</m:t>
        </m:r>
      </m:oMath>
      <w:r>
        <w:t xml:space="preserve"> </w:t>
      </w:r>
      <w:r>
        <w:t xml:space="preserve">from 34.0 to 38.8 GPa (Figure 6.1).</w:t>
      </w:r>
    </w:p>
    <w:p>
      <w:pPr>
        <w:pStyle w:val="BodyText"/>
        <w:jc w:val="center"/>
        <w:keepNext/>
        <w:keepLines/>
        <w:widowControl w:val="1"/>
      </w:pPr>
      <w:r>
        <w:drawing>
          <wp:inline>
            <wp:extent cx="5943600" cy="3021192"/>
            <wp:effectExtent b="0" l="0" r="0" t="0"/>
            <wp:docPr descr="Guided vs unguided composite distribution" title="" id="60" name="Picture"/>
            <a:graphic>
              <a:graphicData uri="http://schemas.openxmlformats.org/drawingml/2006/picture">
                <pic:pic>
                  <pic:nvPicPr>
                    <pic:cNvPr descr="figs/fig7_guided_vs_unguided.png" id="61" name="Picture"/>
                    <pic:cNvPicPr>
                      <a:picLocks noChangeArrowheads="1" noChangeAspect="1"/>
                    </pic:cNvPicPr>
                  </pic:nvPicPr>
                  <pic:blipFill>
                    <a:blip r:embed="rId59"/>
                    <a:stretch>
                      <a:fillRect/>
                    </a:stretch>
                  </pic:blipFill>
                  <pic:spPr bwMode="auto">
                    <a:xfrm>
                      <a:off x="0" y="0"/>
                      <a:ext cx="5943600" cy="30211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6.1.</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ImageCaption"/>
        <w:spacing w:before="80" w:after="120" w:line="240" w:lineRule="auto"/>
        <w:jc w:val="center"/>
        <w:keepNext w:val="0"/>
        <w:keepLines/>
        <w:widowControl w:val="1"/>
      </w:pPr>
      <w:r>
        <w:rPr>
          <w:b/>
          <w:bCs/>
        </w:rPr>
        <w:t xml:space="preserve">Table 6.3a.</w:t>
      </w:r>
      <w:r>
        <w:t xml:space="preserve"> </w:t>
      </w:r>
      <w: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6.3a.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C0</w:t>
            </w:r>
            <w:r>
              <w:rPr>
                <w:rFonts w:ascii="Times New Roman" w:hAnsi="Times New Roman"/>
                <w:sz w:val="20"/>
              </w:rPr>
              <w:t xml:space="preserve"> </w:t>
            </w:r>
            <w:r>
              <w:rPr>
                <w:rFonts w:ascii="Times New Roman" w:hAnsi="Times New Roman"/>
                <w:sz w:val="20"/>
              </w:rPr>
              <w:t xml:space="preserve">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r>
              <w:rPr>
                <w:rFonts w:ascii="Times New Roman" w:hAnsi="Times New Roman"/>
                <w:sz w:val="20"/>
              </w:rPr>
              <w:t xml:space="preserve"> </w:t>
            </w:r>
            <w:r>
              <w:rPr>
                <w:rFonts w:ascii="Times New Roman" w:hAnsi="Times New Roman"/>
                <w:sz w:val="20"/>
              </w:rPr>
              <w:t xml:space="preserve">(4-nitro-1,2,3,5-oxatriazole)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O=[N+]([O-])c1nnon1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C1</w:t>
            </w:r>
            <w:r>
              <w:rPr>
                <w:rFonts w:ascii="Times New Roman" w:hAnsi="Times New Roman"/>
                <w:sz w:val="20"/>
              </w:rPr>
              <w:t xml:space="preserve"> </w:t>
            </w:r>
            <w:r>
              <w:rPr>
                <w:rFonts w:ascii="Times New Roman" w:hAnsi="Times New Roman"/>
                <w:sz w:val="20"/>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C2</w:t>
            </w:r>
            <w:r>
              <w:rPr>
                <w:rFonts w:ascii="Times New Roman" w:hAnsi="Times New Roman"/>
                <w:sz w:val="20"/>
              </w:rPr>
              <w:t xml:space="preserve"> </w:t>
            </w:r>
            <w:r>
              <w:rPr>
                <w:rFonts w:ascii="Times New Roman" w:hAnsi="Times New Roman"/>
                <w:sz w:val="20"/>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(dinitro-vinylene)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C3</w:t>
            </w:r>
            <w:r>
              <w:rPr>
                <w:rFonts w:ascii="Times New Roman" w:hAnsi="Times New Roman"/>
                <w:sz w:val="20"/>
              </w:rPr>
              <w:t xml:space="preserve"> </w:t>
            </w:r>
            <w:r>
              <w:rPr>
                <w:rFonts w:ascii="Times New Roman" w:hAnsi="Times New Roman"/>
                <w:sz w:val="20"/>
              </w:rPr>
              <w:t xml:space="preserve">hazard-only (</w:t>
            </w:r>
            <m:oMath>
              <m:sSub>
                <m:e>
                  <m:r>
                    <m:t>s</m:t>
                  </m:r>
                </m:e>
                <m:sub>
                  <m:r>
                    <m:rPr>
                      <m:nor/>
                      <m:sty m:val="p"/>
                    </m:rPr>
                    <m:t>hazard</m:t>
                  </m:r>
                </m:sub>
              </m:sSub>
              <m:r>
                <m:t>​</m:t>
              </m:r>
              <m:r>
                <m:rPr>
                  <m:sty m:val="p"/>
                </m:rPr>
                <m:t>=</m:t>
              </m:r>
              <m:r>
                <m:t>​</m:t>
              </m:r>
              <m:r>
                <m:t>2.0</m:t>
              </m:r>
            </m:oMath>
            <w:r>
              <w:rPr>
                <w:rFonts w:ascii="Times New Roman" w:hAnsi="Times New Roman"/>
                <w:sz w:val="20"/>
              </w:rPr>
              <w:t xml:space="preserve">, others=0)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(same as C2)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BodyText"/>
        <w:jc w:val="both"/>
        <w:keepNext w:val="0"/>
        <w:keepLines w:val="0"/>
        <w:widowControl w:val="1"/>
      </w:pPr>
      <w:r>
        <w:rPr>
          <w:b/>
          <w:bCs/>
        </w:rPr>
        <w:t xml:space="preserve">Distribution-learning metrics (MOSES + FCD).</w:t>
      </w:r>
      <w:r>
        <w:t xml:space="preserve"> </w:t>
      </w:r>
      <w:r>
        <w:t xml:space="preserve">To address standard distribution-learning benchmarks expected by NMI reviewers, we report MOSES-style metrics</w:t>
      </w:r>
      <w:r>
        <w:t xml:space="preserve"> </w:t>
      </w:r>
      <w:hyperlink w:anchor="ref-polykovskiy2020moses">
        <w:r>
          <w:rPr>
            <w:rStyle w:val="Hyperlink"/>
          </w:rPr>
          <w:t xml:space="preserve">[14]</w:t>
        </w:r>
      </w:hyperlink>
      <w:r>
        <w:t xml:space="preserve"> </w:t>
      </w:r>
      <w:r>
        <w:t xml:space="preserve">on the four guidance conditions above at pool=10 000 each (10k SMILES per condition):</w:t>
      </w:r>
    </w:p>
    <w:p>
      <w:pPr>
        <w:pStyle w:val="ImageCaption"/>
        <w:spacing w:before="80" w:after="120" w:line="240" w:lineRule="auto"/>
        <w:jc w:val="center"/>
        <w:keepNext w:val="0"/>
        <w:keepLines/>
        <w:widowControl w:val="1"/>
      </w:pPr>
      <w:r>
        <w:rPr>
          <w:b/>
          <w:bCs/>
        </w:rPr>
        <w:t xml:space="preserve">Table 6.3b.</w:t>
      </w:r>
      <w:r>
        <w:t xml:space="preserve"> </w:t>
      </w:r>
      <w:r>
        <w:t xml:space="preserve">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6.3b. 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PAINS-pass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energetic-SMARTS-pass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0.306</w:t>
            </w:r>
          </w:p>
        </w:tc>
      </w:tr>
    </w:tbl>
    <w:p>
      <w:pPr>
        <w:pStyle w:val="BodyText"/>
        <w:spacing w:before="160"/>
        <w:jc w:val="both"/>
        <w:keepNext w:val="0"/>
        <w:keepLines w:val="0"/>
        <w:widowControl w:val="1"/>
      </w:pPr>
      <w:r>
        <w:t xml:space="preserve">The MOSES small-multiples figure (validity, scaffold uniqueness, internal diversity, FCD) is included in the main paper as Extended Data Fig. 9.</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6.3c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6.3b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ImageCaption"/>
        <w:spacing w:before="80" w:after="120" w:line="240" w:lineRule="auto"/>
        <w:jc w:val="center"/>
        <w:keepNext w:val="0"/>
        <w:keepLines/>
        <w:widowControl w:val="1"/>
      </w:pPr>
      <w:r>
        <w:rPr>
          <w:b/>
          <w:bCs/>
        </w:rPr>
        <w:t xml:space="preserve">Table 6.3c.</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Table"/>
        <w:tblW w:type="pct" w:w="5000"/>
        <w:jc w:val="center"/>
        <w:tblLook w:firstRow="1" w:lastRow="0" w:firstColumn="0" w:lastColumn="0" w:noHBand="0" w:noVBand="0" w:val="0020"/>
        <w:tblCaption w:val="Table 6.3c.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viab+sens+SA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0.617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0.210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18</w:t>
            </w:r>
          </w:p>
        </w:tc>
      </w:tr>
    </w:tbl>
    <w:p>
      <w:pPr>
        <w:pStyle w:val="BodyText"/>
        <w:spacing w:before="160"/>
        <w:jc w:val="both"/>
        <w:keepNext w:val="0"/>
        <w:keepLines w:val="0"/>
        <w:widowControl w:val="1"/>
      </w:pPr>
      <w:r>
        <w:t xml:space="preserve">Five readings of Table 6.3b:</w:t>
      </w:r>
    </w:p>
    <w:p>
      <w:pPr>
        <w:pStyle w:val="Compact"/>
        <w:numPr>
          <w:ilvl w:val="0"/>
          <w:numId w:val="1002"/>
        </w:numPr>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Tables 6.3b and 6.3c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2"/>
        </w:numPr>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Results (main paper) Tanimoto-stratified novelty result (median NN-Tanimoto 0.32–0.36) and confirms that the diffusion sampler is not memorising training rows.</w:t>
      </w:r>
    </w:p>
    <w:p>
      <w:pPr>
        <w:pStyle w:val="Compact"/>
        <w:numPr>
          <w:ilvl w:val="0"/>
          <w:numId w:val="1002"/>
        </w:numPr>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2"/>
        </w:numPr>
        <w:jc w:val="both"/>
        <w:keepNext w:val="0"/>
        <w:keepLines w:val="0"/>
        <w:widowControl w:val="1"/>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2"/>
        </w:numPr>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(Methods; see also Methods (main paper)),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[15]</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ImageCaption"/>
        <w:spacing w:before="80" w:after="120" w:line="240" w:lineRule="auto"/>
        <w:jc w:val="center"/>
        <w:keepNext w:val="0"/>
        <w:keepLines/>
        <w:widowControl w:val="1"/>
      </w:pPr>
      <w:r>
        <w:rPr>
          <w:b/>
          <w:bCs/>
        </w:rPr>
        <w:t xml:space="preserve">Table 6.3d.</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6.3d.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SMILES-LSTM</w:t>
            </w:r>
            <w:r>
              <w:rPr>
                <w:rFonts w:ascii="Times New Roman" w:hAnsi="Times New Roman"/>
                <w:sz w:val="20"/>
              </w:rPr>
              <w:t xml:space="preserve"> </w:t>
            </w:r>
            <w:r>
              <w:rPr>
                <w:rFonts w:ascii="Times New Roman" w:hAnsi="Times New Roman"/>
                <w:sz w:val="20"/>
              </w:rPr>
              <w:t xml:space="preserve">(no diffusion, 3 seeds, mean)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C3 hazard-only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C0 unguided (6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viab+sens+hazard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viab+sens (hazard-axis,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DGLD C3 viab+sens+SA (SA-axis,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26.47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0.06</w:t>
            </w:r>
          </w:p>
        </w:tc>
      </w:tr>
    </w:tbl>
    <w:p>
      <w:pPr>
        <w:pStyle w:val="BodyText"/>
        <w:spacing w:before="160"/>
        <w:jc w:val="both"/>
        <w:keepNext w:val="0"/>
        <w:keepLines w:val="0"/>
        <w:widowControl w:val="1"/>
      </w:pPr>
      <w:r>
        <w:t xml:space="preserve">The result is methodologically informative and self-consistent with the Supplementary Note 6.4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Note 6.4);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Note 6.4).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Note 6.4 composite.</w:t>
      </w:r>
    </w:p>
    <w:bookmarkEnd w:id="62"/>
    <w:bookmarkStart w:id="63" w:name="X4e0ce8fa8ed350a22b226e0abcb39b4d088393f"/>
    <w:p>
      <w:pPr>
        <w:pStyle w:val="Heading4"/>
        <w:keepNext/>
        <w:keepLines/>
        <w:widowControl w:val="1"/>
      </w:pPr>
      <w:r>
        <w:t xml:space="preserve">6.4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Discussion (main paper)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Note 2.4 for the full SA / SC drug-domain transfer-head story.)</w:t>
      </w:r>
    </w:p>
    <w:p>
      <w:pPr>
        <w:pStyle w:val="BodyText"/>
        <w:jc w:val="both"/>
        <w:keepNext w:val="0"/>
        <w:keepLines w:val="0"/>
        <w:widowControl w:val="1"/>
      </w:pPr>
      <w:r>
        <w:t xml:space="preserve">To put the Supplementary Note 6.3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ImageCaption"/>
        <w:spacing w:before="80" w:after="120" w:line="240" w:lineRule="auto"/>
        <w:jc w:val="center"/>
        <w:keepNext w:val="0"/>
        <w:keepLines/>
        <w:widowControl w:val="1"/>
      </w:pPr>
      <w:r>
        <w:rPr>
          <w:b/>
          <w:bCs/>
        </w:rPr>
        <w:t xml:space="preserve">Table 6.4a.</w:t>
      </w:r>
      <w:r>
        <w:t xml:space="preserve"> </w:t>
      </w:r>
      <w: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6.4a.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r>
              <w:rPr>
                <w:rFonts w:ascii="Times New Roman" w:hAnsi="Times New Roman"/>
                <w:b/>
                <w:sz w:val="19"/>
              </w:rPr>
              <w:br/>
            </w:r>
            <w:r>
              <w:rPr>
                <w:rFonts w:ascii="Times New Roman" w:hAnsi="Times New Roman"/>
                <w:b/>
                <w:i/>
                <w:iCs/>
                <w:sz w:val="19"/>
              </w:rPr>
              <w:t xml:space="preserve">(lower = 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max-Tani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Hz-C0 = SA-C0 unguided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SA-C1 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SA-C2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DGLD Hz-C2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w:t>
            </w:r>
            <w:r>
              <w:rPr>
                <w:rFonts w:ascii="Times New Roman" w:hAnsi="Times New Roman"/>
                <w:sz w:val="20"/>
              </w:rPr>
              <w:t xml:space="preserve"> </w:t>
            </w:r>
            <w:r>
              <w:rPr>
                <w:rFonts w:ascii="Times New Roman" w:hAnsi="Times New Roman"/>
                <w:sz w:val="20"/>
              </w:rPr>
              <w:t xml:space="preserve">(most novel)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Hz-C3 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DGLD SA-C3 viab+sens+SA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pStyle w:val="BodyText"/>
        <w:spacing w:before="16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Note 6.3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(Methods (main paper)).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full md5 cluster table.</w:t>
      </w:r>
      <w:r>
        <w:t xml:space="preserve"> </w:t>
      </w:r>
      <w:r>
        <w:t xml:space="preserve">A 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clusters into exactly four distinct outputs by 2×2 head-on/off; within-cluster scale magnitude does not alter the output because the per-row clamp saturates as soon as a head is active. Cluster D (viab + hazard) is the production default.</w:t>
      </w:r>
    </w:p>
    <w:p>
      <w:pPr>
        <w:pStyle w:val="ImageCaption"/>
        <w:spacing w:before="80" w:after="120" w:line="240" w:lineRule="auto"/>
        <w:jc w:val="center"/>
        <w:keepNext w:val="0"/>
        <w:keepLines/>
        <w:widowControl w:val="1"/>
      </w:pPr>
      <w:r>
        <w:rPr>
          <w:b/>
          <w:bCs/>
        </w:rPr>
        <w:t xml:space="preserve">Table 6.4b.</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6.4b.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sv0_sh0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unguided /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f0438f…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sv0_sh{1,2,5}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93da34…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sv{1,5}_sh0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c83f06…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sv{1,5}_sh{1,2,5} (6)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viab + hazard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e26b43…</w:t>
            </w:r>
          </w:p>
        </w:tc>
      </w:tr>
    </w:tbl>
    <w:p>
      <w:pPr>
        <w:pStyle w:val="BodyText"/>
        <w:spacing w:before="160"/>
        <w:jc w:val="both"/>
        <w:keepNext w:val="0"/>
        <w:keepLines w:val="0"/>
        <w:widowControl w:val="1"/>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Note 2.3).</w:t>
      </w:r>
    </w:p>
    <w:p>
      <w:pPr>
        <w:pStyle w:val="BodyText"/>
        <w:jc w:val="both"/>
        <w:keepNext w:val="0"/>
        <w:keepLines w:val="0"/>
        <w:widowControl w:val="1"/>
      </w:pPr>
      <w:r>
        <w:rPr>
          <w:b/>
          <w:bCs/>
        </w:rPr>
        <w:t xml:space="preserve">Heuristic vs literature-grounded sensitivity head.</w:t>
      </w:r>
      <w:r>
        <w:t xml:space="preserve"> </w:t>
      </w:r>
      <w:r>
        <w:t xml:space="preserve">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Note 2.2):</w:t>
      </w:r>
    </w:p>
    <w:p>
      <w:pPr>
        <w:pStyle w:val="ImageCaption"/>
        <w:spacing w:before="80" w:after="120" w:line="240" w:lineRule="auto"/>
        <w:jc w:val="center"/>
        <w:keepNext w:val="0"/>
        <w:keepLines/>
        <w:widowControl w:val="1"/>
      </w:pPr>
      <w:r>
        <w:rPr>
          <w:b/>
          <w:bCs/>
        </w:rPr>
        <w:t xml:space="preserve">Table 6.4c.</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km/s on top-1</w:t>
      </w:r>
      <w:r>
        <w:t xml:space="preserve"> </w:t>
      </w:r>
      <m:oMath>
        <m:r>
          <m:t>D</m:t>
        </m:r>
      </m:oMath>
      <w:r>
        <w:t xml:space="preserve">.</w:t>
      </w:r>
    </w:p>
    <w:tbl>
      <w:tblPr>
        <w:tblStyle w:val="Table"/>
        <w:tblW w:type="pct" w:w="5000"/>
        <w:jc w:val="center"/>
        <w:tblLook w:firstRow="1" w:lastRow="0" w:firstColumn="0" w:lastColumn="0" w:noHBand="0" w:noVBand="0" w:val="0020"/>
        <w:tblCaption w:val="Table 6.4c.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 unguided (no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 heuristic sensitivity head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 literature-grounded sensitivity head (h</w:t>
            </w:r>
            <w:r>
              <w:rPr>
                <w:rFonts w:ascii="Times New Roman" w:hAnsi="Times New Roman"/>
                <w:sz w:val="20"/>
                <w:vertAlign w:val="subscript"/>
              </w:rPr>
              <w:t xml:space="preserve">50</w:t>
            </w: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8.63</w:t>
            </w:r>
          </w:p>
        </w:tc>
      </w:tr>
    </w:tbl>
    <w:p>
      <w:pPr>
        <w:pStyle w:val="BodyText"/>
        <w:spacing w:before="160"/>
        <w:jc w:val="both"/>
        <w:keepNext w:val="0"/>
        <w:keepLines w:val="0"/>
        <w:widowControl w:val="1"/>
      </w:pPr>
      <w:r>
        <w:t xml:space="preserve">The literature-grounded h50 head reduces top-5 mean sensitivity by</w:t>
      </w:r>
      <w:r>
        <w:t xml:space="preserve"> </w:t>
      </w:r>
      <m:oMath>
        <m:r>
          <m:rPr>
            <m:sty m:val="p"/>
          </m:rPr>
          <m:t>∼</m:t>
        </m:r>
      </m:oMath>
      <w:r>
        <w:t xml:space="preserve">8× at the cost of</w:t>
      </w:r>
      <w:r>
        <w:t xml:space="preserve"> </w:t>
      </w:r>
      <m:oMath>
        <m:r>
          <m:rPr>
            <m:sty m:val="p"/>
          </m:rPr>
          <m:t>∼</m:t>
        </m:r>
      </m:oMath>
      <w:r>
        <w:t xml:space="preserve">0.4 km/s on top-1</w:t>
      </w:r>
      <w:r>
        <w:t xml:space="preserve"> </w:t>
      </w:r>
      <m:oMath>
        <m:r>
          <m:t>D</m:t>
        </m:r>
      </m:oMath>
      <w:r>
        <w:t xml:space="preserve">; preferred when candidate stability is the priority over peak performance.</w:t>
      </w:r>
    </w:p>
    <w:p>
      <w:pPr>
        <w:pStyle w:val="BodyText"/>
        <w:jc w:val="both"/>
        <w:keepNext w:val="0"/>
        <w:keepLines w:val="0"/>
        <w:widowControl w:val="1"/>
      </w:pPr>
      <w:r>
        <w:rPr>
          <w:b/>
          <w:bCs/>
        </w:rPr>
        <w:t xml:space="preserve">Hazard-head post-hoc filtering on the merged top-100.</w:t>
      </w:r>
      <w:r>
        <w:t xml:space="preserve"> </w:t>
      </w:r>
      <w:r>
        <w:t xml:space="preserve">Applying the Discussion (main paper) hazard-head-as-rerank-weight to the merged top-100, scored against the chemist-curated SMARTS catalog, gives the following alignment:</w:t>
      </w:r>
    </w:p>
    <w:p>
      <w:pPr>
        <w:pStyle w:val="ImageCaption"/>
        <w:spacing w:before="80" w:after="120" w:line="240" w:lineRule="auto"/>
        <w:jc w:val="center"/>
        <w:keepNext w:val="0"/>
        <w:keepLines/>
        <w:widowControl w:val="1"/>
      </w:pPr>
      <w:r>
        <w:rPr>
          <w:b/>
          <w:bCs/>
        </w:rPr>
        <w:t xml:space="preserve">Table 6.4d.</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6.4d.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energetic-SMARTS gate reject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head P &gt;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both reject (SMARTS ∩ 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 / 23</w:t>
            </w:r>
            <w:r>
              <w:rPr>
                <w:rFonts w:ascii="Times New Roman" w:hAnsi="Times New Roman"/>
                <w:sz w:val="20"/>
              </w:rPr>
              <w:t xml:space="preserve"> </w:t>
            </w:r>
            <w:r>
              <w:rPr>
                <w:rFonts w:ascii="Times New Roman" w:hAnsi="Times New Roman"/>
                <w:sz w:val="20"/>
              </w:rPr>
              <w:t xml:space="preserve">(perfect recall)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 flag (SMARTS missed but head flagged)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 100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both pass (SMARTS-ok ∩ hazard</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 / 100</w:t>
            </w:r>
          </w:p>
        </w:tc>
      </w:tr>
    </w:tbl>
    <w:p>
      <w:pPr>
        <w:pStyle w:val="BodyText"/>
        <w:spacing w:before="16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bookmarkEnd w:id="63"/>
    <w:bookmarkStart w:id="64" w:name="m7-five-lane-100k-pool-run"/>
    <w:p>
      <w:pPr>
        <w:pStyle w:val="Heading4"/>
        <w:keepNext/>
        <w:keepLines/>
        <w:widowControl w:val="1"/>
      </w:pPr>
      <w:r>
        <w:t xml:space="preserve">6.5 M7 five-lane 100k-pool run</w:t>
      </w:r>
    </w:p>
    <w:p>
      <w:pPr>
        <w:pStyle w:val="FirstParagraph"/>
        <w:jc w:val="both"/>
        <w:keepNext w:val="0"/>
        <w:keepLines w:val="0"/>
        <w:widowControl w:val="1"/>
      </w:pPr>
      <w:r>
        <w:t xml:space="preserve">The Supplementary Note 6.3/Supplementary Note 6.4 ablations each use pool = 10 000 per condition; Supplementary Note 6.3 at pool = 40k uses a single lane per denoiser. To verify that pool-fusion continues to pay off beyond 40k, a 100k-pool M7 experiment ran five sampling lanes with seeds 3–4; the top-200 candidates were re-ranked by the Methods; see also Methods (main paper) composite.</w:t>
      </w:r>
    </w:p>
    <w:p>
      <w:pPr>
        <w:pStyle w:val="ImageCaption"/>
        <w:spacing w:before="80" w:after="120" w:line="240" w:lineRule="auto"/>
        <w:jc w:val="center"/>
        <w:keepNext w:val="0"/>
        <w:keepLines/>
        <w:widowControl w:val="1"/>
      </w:pPr>
      <w:r>
        <w:rPr>
          <w:b/>
          <w:bCs/>
        </w:rPr>
        <w:t xml:space="preserve">Table 6.5.</w:t>
      </w:r>
      <w:r>
        <w:t xml:space="preserve"> </w:t>
      </w:r>
      <w:r>
        <w:t xml:space="preserve">M7 five-lane 100k pool-fusion results vs the Supplementary Note 6.3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6.5. M7 five-lane 100k pool-fusion results vs the Supplementary Note 6.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Single-lane 40k (Supplementary Note 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2.4 %</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M7 five-lane 100k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4 639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4.6 %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9.79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w:t>
            </w:r>
          </w:p>
        </w:tc>
      </w:tr>
    </w:tbl>
    <w:p>
      <w:pPr>
        <w:pStyle w:val="BodyText"/>
        <w:spacing w:before="160"/>
        <w:jc w:val="both"/>
        <w:keepNext w:val="0"/>
        <w:keepLines w:val="0"/>
        <w:widowControl w:val="1"/>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km/s (within 0.04 km/s of the single-lane best), while max</w:t>
      </w:r>
      <w:r>
        <w:t xml:space="preserve"> </w:t>
      </w:r>
      <m:oMath>
        <m:r>
          <m:t>D</m:t>
        </m:r>
      </m:oMath>
      <w:r>
        <w:t xml:space="preserve"> </w:t>
      </w:r>
      <w:r>
        <w:t xml:space="preserve">rises to 9.79 km/s.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64"/>
    <w:bookmarkStart w:id="65" w:name="X02ef97b9a9757b41af9330c1c34bb90ae4bcafe"/>
    <w:p>
      <w:pPr>
        <w:pStyle w:val="Heading4"/>
        <w:keepNext/>
        <w:keepLines/>
        <w:widowControl w:val="1"/>
      </w:pPr>
      <w:r>
        <w:t xml:space="preserve">6.6 Tier-gate ablation (perf head trained without label-trust masking)</w:t>
      </w:r>
    </w:p>
    <w:p>
      <w:pPr>
        <w:pStyle w:val="FirstParagraph"/>
        <w:jc w:val="both"/>
        <w:keepNext w:val="0"/>
        <w:keepLines w:val="0"/>
        <w:widowControl w:val="1"/>
      </w:pPr>
      <w:r>
        <w:t xml:space="preserve">The tier-gated training recipe (Methods (main paper), Discussion (main paper))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ImageCaption"/>
        <w:spacing w:before="80" w:after="120" w:line="240" w:lineRule="auto"/>
        <w:jc w:val="center"/>
        <w:keepNext w:val="0"/>
        <w:keepLines/>
        <w:widowControl w:val="1"/>
      </w:pPr>
      <w:r>
        <w:rPr>
          <w:b/>
          <w:bCs/>
        </w:rPr>
        <w:t xml:space="preserve">Table 6.6.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6.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Training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n_feasible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sSub>
                <m:e>
                  <m:r>
                    <m:t>f</m:t>
                  </m:r>
                </m:e>
                <m:sub>
                  <m:r>
                    <m:t>N</m:t>
                  </m:r>
                </m:sub>
              </m:sSub>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val loss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Production (tier-gate on, Methods (main paper))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 Supplementary Note 6.3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No tier-gate</w:t>
            </w:r>
            <w:r>
              <w:rPr>
                <w:rFonts w:ascii="Times New Roman" w:hAnsi="Times New Roman"/>
                <w:sz w:val="20"/>
              </w:rPr>
              <w:t xml:space="preserve"> </w:t>
            </w:r>
            <w:r>
              <w:rPr>
                <w:rFonts w:ascii="Times New Roman" w:hAnsi="Times New Roman"/>
                <w:sz w:val="20"/>
              </w:rPr>
              <w:t xml:space="preserve">(ablation)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10 773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53.9 %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0.667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[N+][N+]([O-])NC(=N)N[N+]=O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1.178</w:t>
            </w:r>
          </w:p>
        </w:tc>
      </w:tr>
    </w:tbl>
    <w:p>
      <w:pPr>
        <w:pStyle w:val="BodyText"/>
        <w:spacing w:before="16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65"/>
    <w:bookmarkEnd w:id="66"/>
    <w:bookmarkStart w:id="67" w:name="si-note-7"/>
    <w:p>
      <w:pPr>
        <w:pStyle w:val="Heading3"/>
        <w:keepNext/>
        <w:keepLines/>
        <w:widowControl w:val="1"/>
      </w:pPr>
      <w:r>
        <w:t xml:space="preserve">Supplementary Note 7: AiZynthFinder retrosynthesis audit (L1 and extension leads)</w:t>
      </w:r>
    </w:p>
    <w:p>
      <w:pPr>
        <w:pStyle w:val="FirstParagraph"/>
        <w:jc w:val="both"/>
        <w:keepNext w:val="0"/>
        <w:keepLines w:val="0"/>
        <w:widowControl w:val="1"/>
      </w:pPr>
      <w:r>
        <w:t xml:space="preserve">This Supplementary Note gives the full disconnection narrative for the Results “Novelty and synthesisability” (main paper) AiZynthFinder retrosynthesis audit on L1 (3,4,5-trinitro-1,2-isoxazole), the negative-result discussion for L4, L5, and the nine extension leads, and the drug-domain template-bias argument. The headline is reported in Results “Novelty and synthesisability” (main paper) (1/12 USPTO-template hit rate; L1 reachable in 4 steps with state score 0.50; nine-lead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[16]</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67"/>
    <w:bookmarkEnd w:id="68"/>
    <w:bookmarkStart w:id="86" w:name="sec-refs"/>
    <w:p>
      <w:pPr>
        <w:pStyle w:val="Heading2"/>
        <w:keepNext/>
        <w:keepLines/>
        <w:widowControl w:val="1"/>
      </w:pPr>
      <w:r>
        <w:t xml:space="preserve">Supplementary references</w:t>
      </w:r>
    </w:p>
    <w:p>
      <w:pPr>
        <w:pStyle w:val="FirstParagraph"/>
        <w:jc w:val="both"/>
        <w:keepNext w:val="0"/>
        <w:keepLines w:val="0"/>
        <w:widowControl w:val="1"/>
      </w:pPr>
      <w:r>
        <w:t xml:space="preserve">This list contains only references cited within this Supplementary Information. References</w:t>
      </w:r>
      <w:r>
        <w:t xml:space="preserve"> </w:t>
      </w:r>
      <w:r>
        <w:t xml:space="preserve">cited from the main article (LIMO, RDKit, the diffusion-model and FiLM building blocks,</w:t>
      </w:r>
      <w:r>
        <w:t xml:space="preserve"> </w:t>
      </w:r>
      <w:r>
        <w:t xml:space="preserve">baseline methods, etc.) appear in the main paper’s reference list and are not duplicated</w:t>
      </w:r>
      <w:r>
        <w:t xml:space="preserve"> </w:t>
      </w:r>
      <w:r>
        <w:t xml:space="preserve">here. Numbering is local to this document.</w:t>
      </w:r>
    </w:p>
    <w:p>
      <w:pPr>
        <w:pStyle w:val="Compact"/>
        <w:numPr>
          <w:ilvl w:val="0"/>
          <w:numId w:val="1003"/>
        </w:numPr>
        <w:jc w:val="both"/>
        <w:keepNext w:val="0"/>
        <w:keepLines w:val="0"/>
        <w:widowControl w:val="1"/>
      </w:pPr>
      <w:bookmarkStart w:id="6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Note 1.1.</w:t>
      </w:r>
      <w:bookmarkEnd w:id="69"/>
    </w:p>
    <w:p>
      <w:pPr>
        <w:pStyle w:val="Compact"/>
        <w:numPr>
          <w:ilvl w:val="0"/>
          <w:numId w:val="1003"/>
        </w:numPr>
        <w:jc w:val="both"/>
        <w:keepNext w:val="0"/>
        <w:keepLines w:val="0"/>
        <w:widowControl w:val="1"/>
      </w:pPr>
      <w:bookmarkStart w:id="70" w:name="ref-casey2020prediction"/>
      <w:r>
        <w:t xml:space="preserve">Casey, A. D., Son, S. P.,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70"/>
    </w:p>
    <w:p>
      <w:pPr>
        <w:pStyle w:val="Compact"/>
        <w:numPr>
          <w:ilvl w:val="0"/>
          <w:numId w:val="1003"/>
        </w:numPr>
        <w:jc w:val="both"/>
        <w:keepNext w:val="0"/>
        <w:keepLines w:val="0"/>
        <w:widowControl w:val="1"/>
      </w:pPr>
      <w:bookmarkStart w:id="7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71"/>
    </w:p>
    <w:p>
      <w:pPr>
        <w:pStyle w:val="Compact"/>
        <w:numPr>
          <w:ilvl w:val="0"/>
          <w:numId w:val="1003"/>
        </w:numPr>
        <w:jc w:val="both"/>
        <w:keepNext w:val="0"/>
        <w:keepLines w:val="0"/>
        <w:widowControl w:val="1"/>
      </w:pPr>
      <w:bookmarkStart w:id="72" w:name="ref-sterling2015zinc"/>
      <w:r>
        <w:t xml:space="preserve">Sterling, T., &amp; Irwin, J. J. (2015). ZINC 15: Ligand Discovery for Everyone.</w:t>
      </w:r>
      <w:r>
        <w:t xml:space="preserve"> </w:t>
      </w:r>
      <w:r>
        <w:rPr>
          <w:i/>
          <w:iCs/>
        </w:rPr>
        <w:t xml:space="preserve">J. Chem. Inf. Model. 55(11)</w:t>
      </w:r>
      <w:r>
        <w:t xml:space="preserve">:2324–2337.</w:t>
      </w:r>
      <w:bookmarkEnd w:id="72"/>
    </w:p>
    <w:p>
      <w:pPr>
        <w:pStyle w:val="Compact"/>
        <w:numPr>
          <w:ilvl w:val="0"/>
          <w:numId w:val="1003"/>
        </w:numPr>
        <w:jc w:val="both"/>
        <w:keepNext w:val="0"/>
        <w:keepLines w:val="0"/>
        <w:widowControl w:val="1"/>
      </w:pPr>
      <w:bookmarkStart w:id="74" w:name="ref-cameo"/>
      <w:r>
        <w:t xml:space="preserve">NIST CAMEO Chemicals: Database of Hazardous Materials and Reactivity.</w:t>
      </w:r>
      <w:r>
        <w:t xml:space="preserve"> </w:t>
      </w:r>
      <w:hyperlink r:id="rId73">
        <w:r>
          <w:rPr>
            <w:rStyle w:val="Hyperlink"/>
          </w:rPr>
          <w:t xml:space="preserve">cameochemicals.noaa.gov</w:t>
        </w:r>
      </w:hyperlink>
      <w:r>
        <w:t xml:space="preserve">.</w:t>
      </w:r>
      <w:bookmarkEnd w:id="74"/>
    </w:p>
    <w:p>
      <w:pPr>
        <w:pStyle w:val="Compact"/>
        <w:numPr>
          <w:ilvl w:val="0"/>
          <w:numId w:val="1003"/>
        </w:numPr>
        <w:jc w:val="both"/>
        <w:keepNext w:val="0"/>
        <w:keepLines w:val="0"/>
        <w:widowControl w:val="1"/>
      </w:pPr>
      <w:bookmarkStart w:id="75" w:name="ref-bruns2020watson"/>
      <w:r>
        <w:t xml:space="preserve">Bruns, H., &amp; Watson, P. (2020). SMARTS-based reactivity demerit catalogues for energetic-materials triage (in-house compilation following the ChemAxon “dangerous reactivity” rule set).</w:t>
      </w:r>
      <w:bookmarkEnd w:id="75"/>
    </w:p>
    <w:p>
      <w:pPr>
        <w:pStyle w:val="Compact"/>
        <w:numPr>
          <w:ilvl w:val="0"/>
          <w:numId w:val="1003"/>
        </w:numPr>
        <w:jc w:val="both"/>
        <w:keepNext w:val="0"/>
        <w:keepLines w:val="0"/>
        <w:widowControl w:val="1"/>
      </w:pPr>
      <w:bookmarkStart w:id="76" w:name="ref-klapotke2017nitrogen"/>
      <w:r>
        <w:t xml:space="preserve">Klapötke, T. M. (2017). Strategies for the synthesis of energetic, nitrogen-rich heterocycles and their salts.</w:t>
      </w:r>
      <w:r>
        <w:t xml:space="preserve"> </w:t>
      </w:r>
      <w:r>
        <w:rPr>
          <w:i/>
          <w:iCs/>
        </w:rPr>
        <w:t xml:space="preserve">Chem. Mater. 29(5)</w:t>
      </w:r>
      <w:r>
        <w:t xml:space="preserve">:1815–1826. doi:10.1021/acs.chemmater.6b04025.</w:t>
      </w:r>
      <w:bookmarkEnd w:id="76"/>
    </w:p>
    <w:p>
      <w:pPr>
        <w:pStyle w:val="Compact"/>
        <w:numPr>
          <w:ilvl w:val="0"/>
          <w:numId w:val="1003"/>
        </w:numPr>
        <w:jc w:val="both"/>
        <w:keepNext w:val="0"/>
        <w:keepLines w:val="0"/>
        <w:widowControl w:val="1"/>
      </w:pPr>
      <w:bookmarkStart w:id="77" w:name="ref-kim2023pubchem"/>
      <w:r>
        <w:t xml:space="preserve">Kim, S. et al. (2023). PubChem 2023 Update.</w:t>
      </w:r>
      <w:r>
        <w:t xml:space="preserve"> </w:t>
      </w:r>
      <w:r>
        <w:rPr>
          <w:i/>
          <w:iCs/>
        </w:rPr>
        <w:t xml:space="preserve">Nucleic Acids Res. 51(D1)</w:t>
      </w:r>
      <w:r>
        <w:t xml:space="preserve">:D1373–D1380.</w:t>
      </w:r>
      <w:bookmarkEnd w:id="77"/>
    </w:p>
    <w:p>
      <w:pPr>
        <w:pStyle w:val="Compact"/>
        <w:numPr>
          <w:ilvl w:val="0"/>
          <w:numId w:val="1003"/>
        </w:numPr>
        <w:jc w:val="both"/>
        <w:keepNext w:val="0"/>
        <w:keepLines w:val="0"/>
        <w:widowControl w:val="1"/>
      </w:pPr>
      <w:bookmarkStart w:id="7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78"/>
    </w:p>
    <w:p>
      <w:pPr>
        <w:pStyle w:val="Compact"/>
        <w:numPr>
          <w:ilvl w:val="0"/>
          <w:numId w:val="1003"/>
        </w:numPr>
        <w:jc w:val="both"/>
        <w:keepNext w:val="0"/>
        <w:keepLines w:val="0"/>
        <w:widowControl w:val="1"/>
      </w:pPr>
      <w:bookmarkStart w:id="7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:102803.</w:t>
      </w:r>
      <w:bookmarkEnd w:id="79"/>
    </w:p>
    <w:p>
      <w:pPr>
        <w:pStyle w:val="Compact"/>
        <w:numPr>
          <w:ilvl w:val="0"/>
          <w:numId w:val="1003"/>
        </w:numPr>
        <w:jc w:val="both"/>
        <w:keepNext w:val="0"/>
        <w:keepLines w:val="0"/>
        <w:widowControl w:val="1"/>
      </w:pPr>
      <w:bookmarkStart w:id="8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80"/>
    </w:p>
    <w:p>
      <w:pPr>
        <w:pStyle w:val="Compact"/>
        <w:numPr>
          <w:ilvl w:val="0"/>
          <w:numId w:val="1003"/>
        </w:numPr>
        <w:jc w:val="both"/>
        <w:keepNext w:val="0"/>
        <w:keepLines w:val="0"/>
        <w:widowControl w:val="1"/>
      </w:pPr>
      <w:bookmarkStart w:id="81" w:name="ref-bondi1964vdw"/>
      <w:r>
        <w:t xml:space="preserve">Bondi, A. (1964). van der Waals Volumes and Radii.</w:t>
      </w:r>
      <w:r>
        <w:t xml:space="preserve"> </w:t>
      </w:r>
      <w:r>
        <w:rPr>
          <w:i/>
          <w:iCs/>
        </w:rPr>
        <w:t xml:space="preserve">J. Phys. Chem. 68(3)</w:t>
      </w:r>
      <w:r>
        <w:t xml:space="preserve">:441–451. doi:10.1021/j100785a001.</w:t>
      </w:r>
      <w:bookmarkEnd w:id="81"/>
    </w:p>
    <w:p>
      <w:pPr>
        <w:pStyle w:val="Compact"/>
        <w:numPr>
          <w:ilvl w:val="0"/>
          <w:numId w:val="1003"/>
        </w:numPr>
        <w:jc w:val="both"/>
        <w:keepNext w:val="0"/>
        <w:keepLines w:val="0"/>
        <w:widowControl w:val="1"/>
      </w:pPr>
      <w:bookmarkStart w:id="8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82"/>
    </w:p>
    <w:p>
      <w:pPr>
        <w:pStyle w:val="Compact"/>
        <w:numPr>
          <w:ilvl w:val="0"/>
          <w:numId w:val="1003"/>
        </w:numPr>
        <w:jc w:val="both"/>
        <w:keepNext w:val="0"/>
        <w:keepLines w:val="0"/>
        <w:widowControl w:val="1"/>
      </w:pPr>
      <w:bookmarkStart w:id="8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83"/>
    </w:p>
    <w:p>
      <w:pPr>
        <w:pStyle w:val="Compact"/>
        <w:numPr>
          <w:ilvl w:val="0"/>
          <w:numId w:val="1003"/>
        </w:numPr>
        <w:jc w:val="both"/>
        <w:keepNext w:val="0"/>
        <w:keepLines w:val="0"/>
        <w:widowControl w:val="1"/>
      </w:pPr>
      <w:bookmarkStart w:id="8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84"/>
    </w:p>
    <w:p>
      <w:pPr>
        <w:pStyle w:val="Compact"/>
        <w:numPr>
          <w:ilvl w:val="0"/>
          <w:numId w:val="1003"/>
        </w:numPr>
        <w:jc w:val="both"/>
        <w:keepNext w:val="0"/>
        <w:keepLines w:val="0"/>
        <w:widowControl w:val="1"/>
      </w:pPr>
      <w:bookmarkStart w:id="85" w:name="ref-sabatini2018"/>
      <w:r>
        <w:t xml:space="preserve">Sabatini, J. J. (2018). A Review of Nitroisoxazole-Based Energetic Compounds.</w:t>
      </w:r>
      <w:r>
        <w:t xml:space="preserve"> </w:t>
      </w:r>
      <w:r>
        <w:rPr>
          <w:i/>
          <w:iCs/>
        </w:rPr>
        <w:t xml:space="preserve">Propellants, Explosives, Pyrotechnics 43(1)</w:t>
      </w:r>
      <w:r>
        <w:t xml:space="preserve">:28–37. doi:10.1002/prep.201700225.</w:t>
      </w:r>
      <w:bookmarkEnd w:id="85"/>
    </w:p>
    <w:bookmarkEnd w:id="8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png"/><Relationship Id="rId59" Type="http://schemas.openxmlformats.org/officeDocument/2006/relationships/image" Target="media/rId59.png"/><Relationship Id="rId14" Type="http://schemas.openxmlformats.org/officeDocument/2006/relationships/image" Target="media/rId14.png"/><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2026-05-10T11:31:22Z</dcterms:created>
  <dcterms:modified xsi:type="dcterms:W3CDTF">2026-05-10T11:31:22Z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