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decades since.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11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The unguided sampler also independently recovered E1 (4-nitro-1,2,3,5-oxatriazole), a known oxatriazole (PubChem CID 57438703) that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of the baselines, only SELFIES-GA's best-novel candidate was carried to DFT (where it collapsed 9.73 to 6.28 km/s); DGLD is the only method to reach the productive quadrant (simultaneously novel and on-target) under first-principles validation.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 a surrogate</w:t>
      </w:r>
      <w:r>
        <w:t xml:space="preserve"> </w:t>
      </w:r>
      <m:oMath>
        <m:r>
          <m:t>D</m:t>
        </m:r>
        <m:r>
          <m:rPr>
            <m:sty m:val="p"/>
          </m:rPr>
          <m:t>=</m:t>
        </m:r>
        <m:r>
          <m:t>9.02</m:t>
        </m:r>
      </m:oMath>
      <w:r>
        <w:t xml:space="preserve"> km/s 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oMath>
      <m:oMath>
        <m:r>
          <m:t>D</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(DGLD points on the  panel are Uni-Mol surrogate scores and the anchors are at their reported literature ; only the DFT-calibrated Kamlet–Jacobs values for the DGLD leads, in Table 3, are directly scale-matched to the anchors).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(Uni-Mol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(§3.1).</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leads in the HMX/PETN band (Kamlet–Jacobs relative ranking).</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[00]</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Uni-Mol surrogate:</w:t>
      </w:r>
      <w:r>
        <w:t xml:space="preserve"> </w:t>
      </w:r>
      <m:oMath>
        <m:r>
          <m:t>D</m:t>
        </m:r>
        <m:r>
          <m:rPr>
            <m:sty m:val="p"/>
          </m:rPr>
          <m:t>=</m:t>
        </m:r>
        <m:r>
          <m:t>9.56</m:t>
        </m:r>
      </m:oMath>
      <w:r>
        <w:t xml:space="preserve"> km/s (see §5.3 for K-J relative-ranking basis). The unguided sampler additionally recovered the known oxatriazole E1 (above); the extension set spans eight Bemis–Murcko scaffolds across seven chemotype families, of which E1, E6, and E9 are known compounds.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[00]</w:t>
        </w:r>
      </w:hyperlink>
      <w:r>
        <w:t xml:space="preserve"> </w:t>
      </w:r>
      <w:r>
        <w:t xml:space="preserve">+ 6-anchor-calibration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[00]</w:t>
        </w:r>
      </w:hyperlink>
      <w:r>
        <w:t xml:space="preserve">+PubChem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Uni-Mol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00];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(Uni-Mol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100"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exponential-moving-average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The combination is a post-decode union of the two lanes' SMILES pools, with no weight interpolation or output averaging.</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Uni-Mol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[00]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surrogate-gaming false positives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gaming molecules) must show every anchor at</w:t>
      </w:r>
      <w:r>
        <w:t xml:space="preserve"> </w:t>
      </w:r>
      <m:oMath>
        <m:r>
          <m:rPr>
            <m:sty m:val="p"/>
          </m:rPr>
          <m:t>≥</m:t>
        </m:r>
      </m:oMath>
      <w:r>
        <w:t xml:space="preserve"> 0.86 AND every gaming molecule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after Stage 1+2 (966 full-filter survivors, §F.2)  top-100  11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(4.8×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gaming molecule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gaming molecule (gem-tetranitro) furthest, to viability 0.74.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high-energy-density-materials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Start w:id="99" w:name="baseline-generators"/>
    <w:p>
      <w:pPr>
        <w:pStyle w:val="Heading3"/>
        <w:keepNext/>
        <w:keepLines/>
        <w:widowControl w:val="1"/>
      </w:pPr>
      <w:r>
        <w:t xml:space="preserve">4.13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bookmarkEnd w:id="99"/>
    <w:bookmarkEnd w:id="100"/>
    <w:bookmarkStart w:id="137" w:name="sec-exp"/>
    <w:p>
      <w:pPr>
        <w:pStyle w:val="Heading2"/>
        <w:keepNext/>
        <w:keepLines/>
        <w:widowControl w:val="1"/>
      </w:pPr>
      <w:r>
        <w:t xml:space="preserve">5. Experiments</w:t>
      </w:r>
    </w:p>
    <w:bookmarkStart w:id="101"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1"/>
    <w:bookmarkStart w:id="109"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5" w:name="fig-lead-cards-grid"/>
    <w:p>
      <w:pPr>
        <w:pStyle w:val="BodyText"/>
        <w:jc w:val="center"/>
        <w:keepNext/>
        <w:keepLines/>
        <w:widowControl w:val="1"/>
      </w:pPr>
      <w:r>
        <w:drawing>
          <wp:inline>
            <wp:extent cx="5943600" cy="5063204"/>
            <wp:effectExtent b="0" l="0" r="0" t="0"/>
            <wp:docPr descr="Eleven DGLD lead cards in a grid" title="" id="103" name="Picture"/>
            <a:graphic>
              <a:graphicData uri="http://schemas.openxmlformats.org/drawingml/2006/picture">
                <pic:pic>
                  <pic:nvPicPr>
                    <pic:cNvPr descr="figs/fig_lead_cards_grid.png" id="104" name="Picture"/>
                    <pic:cNvPicPr>
                      <a:picLocks noChangeArrowheads="1" noChangeAspect="1"/>
                    </pic:cNvPicPr>
                  </pic:nvPicPr>
                  <pic:blipFill>
                    <a:blip r:embed="rId102"/>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rPr>
            <m:sty m:val="p"/>
          </m:rPr>
          <m:t>≥</m:t>
        </m:r>
        <m:r>
          <m:t>1.5</m:t>
        </m:r>
      </m:oMath>
      <m:oMath>
        <m:r>
          <m:rPr>
            <m:sty m:val="p"/>
          </m:rPr>
          <m:t>&lt;</m:t>
        </m:r>
        <m:r>
          <m:t>1.5</m:t>
        </m:r>
      </m:oMath>
      <w:r>
        <w:rPr>
          <w:b/>
          <w:i/>
        </w:rPr>
        <w:t>Figure 19.</w:t>
      </w:r>
      <w:r>
        <w:rPr>
          <w:b w:val="0"/>
          <w:i/>
        </w:rPr>
        <w:t xml:space="preserve"> </w:t>
      </w:r>
      <w:r>
        <w:rPr>
          <w:b w:val="0"/>
          <w:i/>
        </w:rPr>
        <w:t>Eleven chem-pass DGLD leads (L1, L3, L4, L5, L9, L11, L13, L16, L18, L19, L20). Each card shows the RDKit 2D depiction, chemotype label, molecular formula, and 6-anchor-calibrated DFT/Kamlet–Jacobs values (, , , HOF). The status bar reports the four validation gates: SMARTS pass, Pareto rank (“Pareto –” for L20, added from the pool=80k extension set and not assigned a top-100 rank), xTB HOMO–LUMO status, and DFT. Border and fill colour encode electronic stability: blue = xTB gap  eV (pass); orange = gap  eV (fail, L3/L16). The bottom-right marker is a filled circle (DFT-converged minimum) or a triangle (fail); the top-right asterisk flags the zwitterionic-nitro canonical-SMILES round-trip artefact (the original graph is recovered as a real DFT minimum).</w:t>
      </w:r>
    </w:p>
    <w:bookmarkEnd w:id="105"/>
    <w:p>
      <w:pPr>
        <w:pStyle w:val="BodyText"/>
        <w:jc w:val="both"/>
        <w:keepNext w:val="0"/>
        <w:keepLines w:val="0"/>
        <w:widowControl w:val="1"/>
      </w:pPr>
      <w:r>
        <w:t xml:space="preserve">The top leads (Figure 19,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gaming molecule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7" name="Picture"/>
            <a:graphic>
              <a:graphicData uri="http://schemas.openxmlformats.org/drawingml/2006/picture">
                <pic:pic>
                  <pic:nvPicPr>
                    <pic:cNvPr descr="figs/fig6_pareto_v2.png" id="108" name="Picture"/>
                    <pic:cNvPicPr>
                      <a:picLocks noChangeArrowheads="1" noChangeAspect="1"/>
                    </pic:cNvPicPr>
                  </pic:nvPicPr>
                  <pic:blipFill>
                    <a:blip r:embed="rId106"/>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9"/>
    <w:bookmarkStart w:id="114"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Appendix C.5. The candidates that do not advance to Stage 4 are accounted for in Appendix C.5 (45 removed at the Stage-2 hard filters; 28 fail K-J/imaginary-frequency/composition gates).</w:t>
      </w:r>
    </w:p>
    <w:p>
      <w:pPr>
        <w:pStyle w:val="BodyText"/>
        <w:jc w:val="both"/>
        <w:keepNext w:val="0"/>
        <w:keepLines w:val="0"/>
        <w:widowControl w:val="1"/>
      </w:pPr>
      <w:r>
        <w:rPr>
          <w:b/>
          <w:bCs/>
        </w:rPr>
        <w:t xml:space="preserve">6-anchor calibration (Table 2).</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11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Uni-Mol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3" w:name="fig-dft-dumbbell"/>
    <w:p>
      <w:pPr>
        <w:pStyle w:val="BodyText"/>
        <w:jc w:val="center"/>
        <w:keepNext/>
        <w:keepLines/>
        <w:widowControl w:val="1"/>
      </w:pPr>
      <w:r>
        <w:drawing>
          <wp:inline>
            <wp:extent cx="5943600" cy="2667190"/>
            <wp:effectExtent b="0" l="0" r="0" t="0"/>
            <wp:docPr descr="DFT dumbbell + N-fraction residual scatter" title="" id="111" name="Picture"/>
            <a:graphic>
              <a:graphicData uri="http://schemas.openxmlformats.org/drawingml/2006/picture">
                <pic:pic>
                  <pic:nvPicPr>
                    <pic:cNvPr descr="figs/fig_dft_dumbbell.png" id="112" name="Picture"/>
                    <pic:cNvPicPr>
                      <a:picLocks noChangeArrowheads="1" noChangeAspect="1"/>
                    </pic:cNvPicPr>
                  </pic:nvPicPr>
                  <pic:blipFill>
                    <a:blip r:embed="rId110"/>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r>
          <m:rPr>
            <m:sty m:val="p"/>
          </m:rPr>
          <m:t>=</m:t>
        </m:r>
        <m:r>
          <m:t>0.13</m:t>
        </m:r>
      </m:oMath>
      <m:oMath>
        <m:r>
          <m:t>r</m:t>
        </m:r>
        <m:r>
          <m:rPr>
            <m:sty m:val="p"/>
          </m:rPr>
          <m:t>=</m:t>
        </m:r>
        <m:r>
          <m:t>0.43</m:t>
        </m:r>
      </m:oMath>
      <w:r>
        <w:rPr>
          <w:b/>
          <w:i/>
        </w:rPr>
        <w:t>Figure 21.</w:t>
      </w:r>
      <w:r>
        <w:rPr>
          <w:b w:val="0"/>
          <w:i/>
        </w:rPr>
        <w:t xml:space="preserve"> </w:t>
      </w:r>
      <w:r>
        <w:rPr>
          <w:b w:val="0"/>
          <w:i/>
        </w:rPr>
        <w:t>Left: dumbbell plot connecting Uni-Mol-predicted  (blue) to anchor-calibrated DFT–K-J  (orange) for each DFT-converged lead; dotted green line is the HMX-class 9.0 km/s threshold. Right: per-lead residual vs N-fraction with linear fit (Pearson  across the leads and reference compounds shown); the panel title reports the global 575-row Tier-A correlation (, Table C.4).</w:t>
      </w:r>
    </w:p>
    <w:bookmarkEnd w:id="113"/>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Uni-Mol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Uni-Mol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6">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4"/>
    <w:bookmarkStart w:id="118"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A scaffold-diversity audit shows DGLD spans a chemotype distribution (the scaffold-distinct E-set extension, E1–E10: 10 DFT-validated candidates (7 novel, 3 known) / 8 Bemis–Murcko scaffolds / 7 families), not a single isoxazole hit.</w:t>
      </w:r>
    </w:p>
    <w:bookmarkStart w:id="115"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4);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 Applied to the DFT-audited set, this strengthened gate flags one N-nitroimine (oxime-nitrate-imidazoline) that the production SMARTS gate passes; it is tabulated as reference R2 (Table C.1c), not a chem-pass lead, so the confirmed set is 11 leads (10 unique).</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5"/>
    <w:bookmarkStart w:id="116"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5). L4, L5, and the eight extension leads return zero productive routes within budget; reproduced at 5× budget (1000 MCTS iter, 1800 s) on L4/L5. The L1 disconnection sequence (electrophilic ring-nitration; Boc protection; diphenylphosphoryl azide (DPPA)-mediated Curtius rearrangement on 4,5-dinitro-1,2-isoxazole-3-carboxylic acid), its hazard caveats (acyl-azide intermediate at primary-explosive class), and the ZINC catalog gap on energetic-domain intermediates are documented in Appendix D.14. The 1/11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6"/>
    <w:bookmarkStart w:id="117"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E1, E6, and E9 are known compounds (recovered, not novel; E1 PubChem CID 57438703, E6 CID 201040, E9 1H-tetrazole).</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E1, E6, and E9 are known compounds (recovered, not novel; E1 PubChem CID 57438703, E6 CID 201040, E9 1H-tetrazo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(Appendix C.5.1). Without an oxatriazole-class anchor, E1's calibrated</w:t>
      </w:r>
      <w:r>
        <w:t xml:space="preserve"> </w:t>
      </w:r>
      <m:oMath>
        <m:r>
          <m:t>D</m:t>
        </m:r>
        <m:r>
          <m:rPr>
            <m:sty m:val="p"/>
          </m:rPr>
          <m:t>=</m:t>
        </m:r>
        <m:r>
          <m:t>9.00</m:t>
        </m:r>
      </m:oMath>
      <w:r>
        <w:t xml:space="preserve"> km/s 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is the top-ranked novel lead, and the sampler's independent recovery of the known oxatriazole E1 shows its reach spans chemically distinct families.</w:t>
      </w:r>
    </w:p>
    <w:bookmarkEnd w:id="117"/>
    <w:bookmarkEnd w:id="118"/>
    <w:bookmarkStart w:id="131"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(head-to-head in Supplementary Section F.4).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head-to-head in Supplementary Section F.4).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2" w:name="fig-baseline-forest"/>
    <w:p>
      <w:pPr>
        <w:pStyle w:val="BodyText"/>
        <w:jc w:val="center"/>
        <w:keepNext/>
        <w:keepLines/>
        <w:widowControl w:val="1"/>
      </w:pPr>
      <w:r>
        <w:drawing>
          <wp:inline>
            <wp:extent cx="5943600" cy="3272694"/>
            <wp:effectExtent b="0" l="0" r="0" t="0"/>
            <wp:docPr descr="Forest plot of top-1 Pareto-reranker composite penalty" title="" id="120" name="Picture"/>
            <a:graphic>
              <a:graphicData uri="http://schemas.openxmlformats.org/drawingml/2006/picture">
                <pic:pic>
                  <pic:nvPicPr>
                    <pic:cNvPr descr="figs/fig_baseline_forest.png" id="121" name="Picture"/>
                    <pic:cNvPicPr>
                      <a:picLocks noChangeArrowheads="1" noChangeAspect="1"/>
                    </pic:cNvPicPr>
                  </pic:nvPicPr>
                  <pic:blipFill>
                    <a:blip r:embed="rId119"/>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2"/>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Appendix E lists the ten most-novel candidates from each baseline pool.</w:t>
      </w:r>
    </w:p>
    <w:bookmarkStart w:id="126"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4" name="Picture"/>
            <a:graphic>
              <a:graphicData uri="http://schemas.openxmlformats.org/drawingml/2006/picture">
                <pic:pic>
                  <pic:nvPicPr>
                    <pic:cNvPr descr="figs/fig_quadrant_scatter.png" id="125" name="Picture"/>
                    <pic:cNvPicPr>
                      <a:picLocks noChangeArrowheads="1" noChangeAspect="1"/>
                    </pic:cNvPicPr>
                  </pic:nvPicPr>
                  <pic:blipFill>
                    <a:blip r:embed="rId123"/>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11 DFT-confirmed lead cards (10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L3–L5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 L3–L5 from §5.2 prose;  from Table C.1b; baselines from Table 8.</w:t>
      </w:r>
    </w:p>
    <w:bookmarkEnd w:id="126"/>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30" w:name="fig-moses-panels"/>
    <w:p>
      <w:pPr>
        <w:pStyle w:val="BodyText"/>
        <w:jc w:val="center"/>
        <w:keepNext/>
        <w:keepLines/>
        <w:widowControl w:val="1"/>
      </w:pPr>
      <w:r>
        <w:drawing>
          <wp:inline>
            <wp:extent cx="5943600" cy="3335845"/>
            <wp:effectExtent b="0" l="0" r="0" t="0"/>
            <wp:docPr descr="MOSES-style distribution-learning small multiples" title="" id="128" name="Picture"/>
            <a:graphic>
              <a:graphicData uri="http://schemas.openxmlformats.org/drawingml/2006/picture">
                <pic:pic>
                  <pic:nvPicPr>
                    <pic:cNvPr descr="figs/fig_moses_small_multiples.png" id="129" name="Picture"/>
                    <pic:cNvPicPr>
                      <a:picLocks noChangeArrowheads="1" noChangeAspect="1"/>
                    </pic:cNvPicPr>
                  </pic:nvPicPr>
                  <pic:blipFill>
                    <a:blip r:embed="rId127"/>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30"/>
    <w:bookmarkEnd w:id="131"/>
    <w:bookmarkStart w:id="136"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 Appendix F.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gaming molecule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(4.8×);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5"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3" name="Picture"/>
            <a:graphic>
              <a:graphicData uri="http://schemas.openxmlformats.org/drawingml/2006/picture">
                <pic:pic>
                  <pic:nvPicPr>
                    <pic:cNvPr descr="figs/fig_forest_ablation.png" id="134" name="Picture"/>
                    <pic:cNvPicPr>
                      <a:picLocks noChangeArrowheads="1" noChangeAspect="1"/>
                    </pic:cNvPicPr>
                  </pic:nvPicPr>
                  <pic:blipFill>
                    <a:blip r:embed="rId132"/>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5"/>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6"/>
    <w:bookmarkEnd w:id="137"/>
    <w:bookmarkStart w:id="138"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±0.29 km/s in</w:t>
      </w:r>
      <w:r>
        <w:t xml:space="preserve"> </w:t>
      </w:r>
      <m:oMath>
        <m:r>
          <m:t>D</m:t>
        </m:r>
      </m:oMath>
      <w:r>
        <w:t xml:space="preserve">, comparable to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[00]</w:t>
        </w:r>
      </w:hyperlink>
      <w:r>
        <w:t xml:space="preserve"> </w:t>
      </w:r>
      <w:r>
        <w:t xml:space="preserve">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DNTF lies outside the calibration's applicability domain (a furazan-class outlier, Appendix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Uni-Mol residual reported in §5.3 is consistent with the typical disagreement between Kamlet–Jacobs and full Chapman–Jouguet thermochemical-equilibrium codes (EXPLO5, Sućeska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8"/>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km/s under DFT audit; REINVENT 4 generates novel high-N heterocycles but peaks at</w:t>
      </w:r>
      <w:r>
        <w:t xml:space="preserve"> </w:t>
      </w:r>
      <m:oMath>
        <m:r>
          <m:t>D</m:t>
        </m:r>
        <m:r>
          <m:rPr>
            <m:sty m:val="p"/>
          </m:rPr>
          <m:t>=</m:t>
        </m:r>
        <m:r>
          <m:t>9.02</m:t>
        </m:r>
      </m:oMath>
      <w:r>
        <w:t xml:space="preserve"> km/s.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The unguided sampler independently recovered E1 (4-nitro-1,2,3,5-oxatriazole), a known oxatriazole (PubChem CID 57438703), reaching</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its recovery validates the sampler's scaffold reach rather than adding a novel lead, and its calibrated D is an upper bound pending thermal stability confirmation and a 1,2,3,5-oxatriazole-class DFT anchor (§6).</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Uni-Mol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6"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zhou2023unimol"/>
      <w:r>
        <w:t xml:space="preserve">Zhou, G. et al. (2023). Uni-Mol: A Universal 3D Molecular Representation Learning Framework.</w:t>
      </w:r>
      <w:r>
        <w:t xml:space="preserve"> </w:t>
      </w:r>
      <w:r>
        <w:rPr>
          <w:i/>
          <w:iCs/>
        </w:rPr>
        <w:t xml:space="preserve">ICLR 2023</w:t>
      </w:r>
      <w:r>
        <w:t xml:space="preserve">.</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ho2022cfg"/>
      <w:r>
        <w:t xml:space="preserve">Ho, J., &amp; Salimans, T. (2022). Classifier-Free Diffusion Guidance. arXiv:2207.12598.</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reidenbach2023molmim"/>
      <w:r>
        <w:t xml:space="preserve">Reidenbach, D., Livne, M., Ilango, R. K., Gill, M., &amp; Israeli, J. (2023). MolMIM: A Molecular Language Model for Property-Guided Molecule Generation via Mutual Information Machines. (MLDD Workshop, ICLR 2023; arXiv:2208.09016).</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jaegle2021perceiver"/>
      <w:r>
        <w:t xml:space="preserve">Jaegle, A. et al. (2021). Perceiver: General Perception with Iterative Attention.</w:t>
      </w:r>
      <w:r>
        <w:t xml:space="preserve"> </w:t>
      </w:r>
      <w:r>
        <w:rPr>
          <w:i/>
          <w:iCs/>
        </w:rPr>
        <w:t xml:space="preserve">ICML 2021</w:t>
      </w:r>
      <w:r>
        <w:t xml:space="preserve">. arXiv:2103.03206.</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vignac2023digress"/>
      <w:r>
        <w:t xml:space="preserve">Vignac, C. et al. (2023). DiGress: Discrete Denoising Diffusion for Graph Generation.</w:t>
      </w:r>
      <w:r>
        <w:t xml:space="preserve"> </w:t>
      </w:r>
      <w:r>
        <w:rPr>
          <w:i/>
          <w:iCs/>
        </w:rPr>
        <w:t xml:space="preserve">ICLR 2023</w:t>
      </w:r>
      <w:r>
        <w:t xml:space="preserve">. arXiv:2209.14734.</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o2020ddpm"/>
      <w:r>
        <w:t xml:space="preserve">Ho, J., Jain, A., &amp; Abbeel, P. (2020). Denoising Diffusion Probabilistic Models.</w:t>
      </w:r>
      <w:r>
        <w:t xml:space="preserve"> </w:t>
      </w:r>
      <w:r>
        <w:rPr>
          <w:i/>
          <w:iCs/>
        </w:rPr>
        <w:t xml:space="preserve">NeurIPS 2020</w:t>
      </w:r>
      <w:r>
        <w:t xml:space="preserve">. arXiv:2006.11239.</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4"/>
    </w:p>
    <w:p>
      <w:pPr>
        <w:pStyle w:val="ReferenceEntry"/>
        <w:spacing w:after="100"/>
        <w:ind w:left="475" w:hanging="475"/>
        <w:jc w:val="left"/>
        <w:keepNext w:val="0"/>
        <w:keepLines w:val="0"/>
        <w:widowControl w:val="1"/>
      </w:pPr>
      <w:r>
        <w:rPr>
          <w:rFonts w:ascii="Times New Roman" w:hAnsi="Times New Roman"/>
          <w:sz w:val="20"/>
        </w:rPr>
        <w:t xml:space="preserve">35. </w:t>
      </w:r>
      <w:bookmarkStart w:id="175"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5"/>
    </w:p>
    <w:p>
      <w:pPr>
        <w:pStyle w:val="ReferenceEntry"/>
        <w:spacing w:after="100"/>
        <w:ind w:left="475" w:hanging="475"/>
        <w:jc w:val="left"/>
        <w:keepNext w:val="0"/>
        <w:keepLines w:val="0"/>
        <w:widowControl w:val="1"/>
      </w:pPr>
      <w:r>
        <w:rPr>
          <w:rFonts w:ascii="Times New Roman" w:hAnsi="Times New Roman"/>
          <w:sz w:val="20"/>
        </w:rPr>
        <w:t xml:space="preserve">36. </w:t>
      </w:r>
      <w:bookmarkStart w:id="176"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6"/>
    </w:p>
    <w:p>
      <w:pPr>
        <w:pStyle w:val="ReferenceEntry"/>
        <w:spacing w:after="100"/>
        <w:ind w:left="475" w:hanging="475"/>
        <w:jc w:val="left"/>
        <w:keepNext w:val="0"/>
        <w:keepLines w:val="0"/>
        <w:widowControl w:val="1"/>
      </w:pPr>
      <w:r>
        <w:rPr>
          <w:rFonts w:ascii="Times New Roman" w:hAnsi="Times New Roman"/>
          <w:sz w:val="20"/>
        </w:rPr>
        <w:t xml:space="preserve">37. </w:t>
      </w:r>
      <w:bookmarkStart w:id="177"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38. </w:t>
      </w:r>
      <w:bookmarkStart w:id="178"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8"/>
    </w:p>
    <w:p>
      <w:pPr>
        <w:pStyle w:val="ReferenceEntry"/>
        <w:spacing w:after="100"/>
        <w:ind w:left="475" w:hanging="475"/>
        <w:jc w:val="left"/>
        <w:keepNext w:val="0"/>
        <w:keepLines w:val="0"/>
        <w:widowControl w:val="1"/>
      </w:pPr>
      <w:r>
        <w:rPr>
          <w:rFonts w:ascii="Times New Roman" w:hAnsi="Times New Roman"/>
          <w:sz w:val="20"/>
        </w:rPr>
        <w:t xml:space="preserve">39. </w:t>
      </w:r>
      <w:bookmarkStart w:id="179"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9"/>
    </w:p>
    <w:p>
      <w:pPr>
        <w:pStyle w:val="ReferenceEntry"/>
        <w:spacing w:after="100"/>
        <w:ind w:left="475" w:hanging="475"/>
        <w:jc w:val="left"/>
        <w:keepNext w:val="0"/>
        <w:keepLines w:val="0"/>
        <w:widowControl w:val="1"/>
      </w:pPr>
      <w:r>
        <w:rPr>
          <w:rFonts w:ascii="Times New Roman" w:hAnsi="Times New Roman"/>
          <w:sz w:val="20"/>
        </w:rPr>
        <w:t xml:space="preserve">40. </w:t>
      </w:r>
      <w:bookmarkStart w:id="18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0"/>
    </w:p>
    <w:p>
      <w:pPr>
        <w:pStyle w:val="ReferenceEntry"/>
        <w:spacing w:after="100"/>
        <w:ind w:left="475" w:hanging="475"/>
        <w:jc w:val="left"/>
        <w:keepNext w:val="0"/>
        <w:keepLines w:val="0"/>
        <w:widowControl w:val="1"/>
      </w:pPr>
      <w:r>
        <w:rPr>
          <w:rFonts w:ascii="Times New Roman" w:hAnsi="Times New Roman"/>
          <w:sz w:val="20"/>
        </w:rPr>
        <w:t xml:space="preserve">41. </w:t>
      </w:r>
      <w:bookmarkStart w:id="181"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1"/>
    </w:p>
    <w:p>
      <w:pPr>
        <w:pStyle w:val="ReferenceEntry"/>
        <w:spacing w:after="100"/>
        <w:ind w:left="475" w:hanging="475"/>
        <w:jc w:val="left"/>
        <w:keepNext w:val="0"/>
        <w:keepLines w:val="0"/>
        <w:widowControl w:val="1"/>
      </w:pPr>
      <w:r>
        <w:rPr>
          <w:rFonts w:ascii="Times New Roman" w:hAnsi="Times New Roman"/>
          <w:sz w:val="20"/>
        </w:rPr>
        <w:t xml:space="preserve">42. </w:t>
      </w:r>
      <w:bookmarkStart w:id="182"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2"/>
    </w:p>
    <w:p>
      <w:pPr>
        <w:pStyle w:val="ReferenceEntry"/>
        <w:spacing w:after="100"/>
        <w:ind w:left="475" w:hanging="475"/>
        <w:jc w:val="left"/>
        <w:keepNext w:val="0"/>
        <w:keepLines w:val="0"/>
        <w:widowControl w:val="1"/>
      </w:pPr>
      <w:r>
        <w:rPr>
          <w:rFonts w:ascii="Times New Roman" w:hAnsi="Times New Roman"/>
          <w:sz w:val="20"/>
        </w:rPr>
        <w:t xml:space="preserve">43. </w:t>
      </w:r>
      <w:bookmarkStart w:id="183" w:name="ref-klapotke2017nitrogen"/>
      <w:r>
        <w:t xml:space="preserve">Klapötke, T. M.</w:t>
      </w:r>
      <w:r>
        <w:t xml:space="preserve"> </w:t>
      </w:r>
      <w:r>
        <w:rPr>
          <w:i/>
          <w:iCs/>
        </w:rPr>
        <w:t xml:space="preserve">Chemistry of High-Energy Materials</w:t>
      </w:r>
      <w:r>
        <w:t xml:space="preserve">, 5th ed. (de Gruyter, 2019). doi:10.1515/9783110624571.</w:t>
      </w:r>
      <w:bookmarkEnd w:id="183"/>
    </w:p>
    <w:p>
      <w:pPr>
        <w:pStyle w:val="ReferenceEntry"/>
        <w:spacing w:after="100"/>
        <w:ind w:left="475" w:hanging="475"/>
        <w:jc w:val="left"/>
        <w:keepNext w:val="0"/>
        <w:keepLines w:val="0"/>
        <w:widowControl w:val="1"/>
      </w:pPr>
      <w:r>
        <w:rPr>
          <w:rFonts w:ascii="Times New Roman" w:hAnsi="Times New Roman"/>
          <w:sz w:val="20"/>
        </w:rPr>
        <w:t xml:space="preserve">44. </w:t>
      </w:r>
      <w:bookmarkStart w:id="184"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4"/>
    </w:p>
    <w:p>
      <w:pPr>
        <w:pStyle w:val="ReferenceEntry"/>
        <w:spacing w:after="100"/>
        <w:ind w:left="475" w:hanging="475"/>
        <w:jc w:val="left"/>
        <w:keepNext w:val="0"/>
        <w:keepLines w:val="0"/>
        <w:widowControl w:val="1"/>
      </w:pPr>
      <w:r>
        <w:rPr>
          <w:rFonts w:ascii="Times New Roman" w:hAnsi="Times New Roman"/>
          <w:sz w:val="20"/>
        </w:rPr>
        <w:t xml:space="preserve">45. </w:t>
      </w:r>
      <w:bookmarkStart w:id="18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5"/>
    </w:p>
    <w:p>
      <w:pPr>
        <w:pStyle w:val="ReferenceEntry"/>
        <w:spacing w:after="100"/>
        <w:ind w:left="475" w:hanging="475"/>
        <w:jc w:val="left"/>
        <w:keepNext w:val="0"/>
        <w:keepLines w:val="0"/>
        <w:widowControl w:val="1"/>
      </w:pPr>
      <w:r>
        <w:rPr>
          <w:rFonts w:ascii="Times New Roman" w:hAnsi="Times New Roman"/>
          <w:sz w:val="20"/>
        </w:rPr>
        <w:t xml:space="preserve">46. </w:t>
      </w:r>
      <w:bookmarkStart w:id="186"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6"/>
    </w:p>
    <w:p>
      <w:pPr>
        <w:pStyle w:val="ReferenceEntry"/>
        <w:spacing w:after="100"/>
        <w:ind w:left="475" w:hanging="475"/>
        <w:jc w:val="left"/>
        <w:keepNext w:val="0"/>
        <w:keepLines w:val="0"/>
        <w:widowControl w:val="1"/>
      </w:pPr>
      <w:r>
        <w:rPr>
          <w:rFonts w:ascii="Times New Roman" w:hAnsi="Times New Roman"/>
          <w:sz w:val="20"/>
        </w:rPr>
        <w:t xml:space="preserve">47. </w:t>
      </w:r>
      <w:bookmarkStart w:id="187"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7"/>
    </w:p>
    <w:p>
      <w:pPr>
        <w:pStyle w:val="ReferenceEntry"/>
        <w:spacing w:after="100"/>
        <w:ind w:left="475" w:hanging="475"/>
        <w:jc w:val="left"/>
        <w:keepNext w:val="0"/>
        <w:keepLines w:val="0"/>
        <w:widowControl w:val="1"/>
      </w:pPr>
      <w:r>
        <w:rPr>
          <w:rFonts w:ascii="Times New Roman" w:hAnsi="Times New Roman"/>
          <w:sz w:val="20"/>
        </w:rPr>
        <w:t xml:space="preserve">48. </w:t>
      </w:r>
      <w:bookmarkStart w:id="188"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8"/>
    </w:p>
    <w:p>
      <w:pPr>
        <w:pStyle w:val="ReferenceEntry"/>
        <w:spacing w:after="100"/>
        <w:ind w:left="475" w:hanging="475"/>
        <w:jc w:val="left"/>
        <w:keepNext w:val="0"/>
        <w:keepLines w:val="0"/>
        <w:widowControl w:val="1"/>
      </w:pPr>
      <w:r>
        <w:rPr>
          <w:rFonts w:ascii="Times New Roman" w:hAnsi="Times New Roman"/>
          <w:sz w:val="20"/>
        </w:rPr>
        <w:t xml:space="preserve">49. </w:t>
      </w:r>
      <w:bookmarkStart w:id="189"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9"/>
    </w:p>
    <w:p>
      <w:pPr>
        <w:pStyle w:val="ReferenceEntry"/>
        <w:spacing w:after="100"/>
        <w:ind w:left="475" w:hanging="475"/>
        <w:jc w:val="left"/>
        <w:keepNext w:val="0"/>
        <w:keepLines w:val="0"/>
        <w:widowControl w:val="1"/>
      </w:pPr>
      <w:r>
        <w:rPr>
          <w:rFonts w:ascii="Times New Roman" w:hAnsi="Times New Roman"/>
          <w:sz w:val="20"/>
        </w:rPr>
        <w:t xml:space="preserve">50. </w:t>
      </w:r>
      <w:bookmarkStart w:id="190"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0"/>
    </w:p>
    <w:p>
      <w:pPr>
        <w:pStyle w:val="ReferenceEntry"/>
        <w:spacing w:after="100"/>
        <w:ind w:left="475" w:hanging="475"/>
        <w:jc w:val="left"/>
        <w:keepNext w:val="0"/>
        <w:keepLines w:val="0"/>
        <w:widowControl w:val="1"/>
      </w:pPr>
      <w:r>
        <w:rPr>
          <w:rFonts w:ascii="Times New Roman" w:hAnsi="Times New Roman"/>
          <w:sz w:val="20"/>
        </w:rPr>
        <w:t xml:space="preserve">51. </w:t>
      </w:r>
      <w:bookmarkStart w:id="191"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1"/>
    </w:p>
    <w:p>
      <w:pPr>
        <w:pStyle w:val="ReferenceEntry"/>
        <w:spacing w:after="100"/>
        <w:ind w:left="475" w:hanging="475"/>
        <w:jc w:val="left"/>
        <w:keepNext w:val="0"/>
        <w:keepLines w:val="0"/>
        <w:widowControl w:val="1"/>
      </w:pPr>
      <w:r>
        <w:rPr>
          <w:rFonts w:ascii="Times New Roman" w:hAnsi="Times New Roman"/>
          <w:sz w:val="20"/>
        </w:rPr>
        <w:t xml:space="preserve">52. </w:t>
      </w:r>
      <w:bookmarkStart w:id="192" w:name="ref-reymond2015gdb"/>
      <w:r>
        <w:t xml:space="preserve">Reymond, J.-L. (2015). The chemical space project.</w:t>
      </w:r>
      <w:r>
        <w:t xml:space="preserve"> </w:t>
      </w:r>
      <w:r>
        <w:rPr>
          <w:i/>
          <w:iCs/>
        </w:rPr>
        <w:t xml:space="preserve">Acc. Chem. Res. 48(3)</w:t>
      </w:r>
      <w:r>
        <w:t xml:space="preserve">:722–730.</w:t>
      </w:r>
      <w:bookmarkEnd w:id="192"/>
    </w:p>
    <w:p>
      <w:pPr>
        <w:pStyle w:val="ReferenceEntry"/>
        <w:spacing w:after="100"/>
        <w:ind w:left="475" w:hanging="475"/>
        <w:jc w:val="left"/>
        <w:keepNext w:val="0"/>
        <w:keepLines w:val="0"/>
        <w:widowControl w:val="1"/>
      </w:pPr>
      <w:r>
        <w:rPr>
          <w:rFonts w:ascii="Times New Roman" w:hAnsi="Times New Roman"/>
          <w:sz w:val="20"/>
        </w:rPr>
        <w:t xml:space="preserve">53. </w:t>
      </w: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ReferenceEntry"/>
        <w:spacing w:after="100"/>
        <w:ind w:left="475" w:hanging="475"/>
        <w:jc w:val="left"/>
        <w:keepNext w:val="0"/>
        <w:keepLines w:val="0"/>
        <w:widowControl w:val="1"/>
      </w:pPr>
      <w:r>
        <w:rPr>
          <w:rFonts w:ascii="Times New Roman" w:hAnsi="Times New Roman"/>
          <w:sz w:val="20"/>
        </w:rPr>
        <w:t xml:space="preserve">54. </w:t>
      </w: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ReferenceEntry"/>
        <w:spacing w:after="100"/>
        <w:ind w:left="475" w:hanging="475"/>
        <w:jc w:val="left"/>
        <w:keepNext w:val="0"/>
        <w:keepLines w:val="0"/>
        <w:widowControl w:val="1"/>
      </w:pPr>
      <w:r>
        <w:rPr>
          <w:rFonts w:ascii="Times New Roman" w:hAnsi="Times New Roman"/>
          <w:sz w:val="20"/>
        </w:rPr>
        <w:t xml:space="preserve">55. </w:t>
      </w: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ReferenceEntry"/>
        <w:spacing w:after="100"/>
        <w:ind w:left="475" w:hanging="475"/>
        <w:jc w:val="left"/>
        <w:keepNext w:val="0"/>
        <w:keepLines w:val="0"/>
        <w:widowControl w:val="1"/>
      </w:pPr>
      <w:r>
        <w:rPr>
          <w:rFonts w:ascii="Times New Roman" w:hAnsi="Times New Roman"/>
          <w:sz w:val="20"/>
        </w:rPr>
        <w:t xml:space="preserve">56. </w:t>
      </w: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ReferenceEntry"/>
        <w:spacing w:after="100"/>
        <w:ind w:left="475" w:hanging="475"/>
        <w:jc w:val="left"/>
        <w:keepNext w:val="0"/>
        <w:keepLines w:val="0"/>
        <w:widowControl w:val="1"/>
      </w:pPr>
      <w:r>
        <w:rPr>
          <w:rFonts w:ascii="Times New Roman" w:hAnsi="Times New Roman"/>
          <w:sz w:val="20"/>
        </w:rPr>
        <w:t xml:space="preserve">57. </w:t>
      </w: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ReferenceEntry"/>
        <w:spacing w:after="100"/>
        <w:ind w:left="475" w:hanging="475"/>
        <w:jc w:val="left"/>
        <w:keepNext w:val="0"/>
        <w:keepLines w:val="0"/>
        <w:widowControl w:val="1"/>
      </w:pPr>
      <w:r>
        <w:rPr>
          <w:rFonts w:ascii="Times New Roman" w:hAnsi="Times New Roman"/>
          <w:sz w:val="20"/>
        </w:rPr>
        <w:t xml:space="preserve">58. </w:t>
      </w: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ReferenceEntry"/>
        <w:spacing w:after="100"/>
        <w:ind w:left="475" w:hanging="475"/>
        <w:jc w:val="left"/>
        <w:keepNext w:val="0"/>
        <w:keepLines w:val="0"/>
        <w:widowControl w:val="1"/>
      </w:pPr>
      <w:r>
        <w:rPr>
          <w:rFonts w:ascii="Times New Roman" w:hAnsi="Times New Roman"/>
          <w:sz w:val="20"/>
        </w:rPr>
        <w:t xml:space="preserve">59. </w:t>
      </w: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ReferenceEntry"/>
        <w:spacing w:after="100"/>
        <w:ind w:left="475" w:hanging="475"/>
        <w:jc w:val="left"/>
        <w:keepNext w:val="0"/>
        <w:keepLines w:val="0"/>
        <w:widowControl w:val="1"/>
      </w:pPr>
      <w:r>
        <w:rPr>
          <w:rFonts w:ascii="Times New Roman" w:hAnsi="Times New Roman"/>
          <w:sz w:val="20"/>
        </w:rPr>
        <w:t xml:space="preserve">60. </w:t>
      </w:r>
      <w:bookmarkStart w:id="201" w:name="ref-landrum2024rdkit"/>
      <w:r>
        <w:t xml:space="preserve">Landrum, G., &amp; contributors. RDKit: Open-source cheminformatics.</w:t>
      </w:r>
      <w:r>
        <w:t xml:space="preserve"> </w:t>
      </w:r>
      <w:hyperlink r:id="rId200">
        <w:r>
          <w:rPr>
            <w:rStyle w:val="Hyperlink"/>
          </w:rPr>
          <w:t xml:space="preserve">rdkit.org</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daylight-smarts"/>
      <w:r>
        <w:t xml:space="preserve">Daylight Chemical Information Systems. (2007). SMARTS: A Language for Describing Molecular Patterns. Daylight Theory Manual, Aliso Viejo, CA.</w:t>
      </w:r>
      <w:r>
        <w:t xml:space="preserve"> </w:t>
      </w:r>
      <w:hyperlink r:id="rId20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kim2023pubchem"/>
      <w:r>
        <w:t xml:space="preserve">Kim, S. et al. (2023). PubChem 2023 Update.</w:t>
      </w:r>
      <w:r>
        <w:t xml:space="preserve"> </w:t>
      </w:r>
      <w:r>
        <w:rPr>
          <w:i/>
          <w:iCs/>
        </w:rPr>
        <w:t xml:space="preserve">Nucleic Acids Res. 51(D1)</w:t>
      </w:r>
      <w:r>
        <w:t xml:space="preserve">:D1373–D1380.</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0" w:name="ref-sterling2015zinc"/>
      <w:r>
        <w:t xml:space="preserve">Sterling, T., &amp; Irwin, J. J. (2015). ZINC 15: Ligand Discovery for Everyone.</w:t>
      </w:r>
      <w:r>
        <w:t xml:space="preserve"> </w:t>
      </w:r>
      <w:r>
        <w:rPr>
          <w:i/>
          <w:iCs/>
        </w:rPr>
        <w:t xml:space="preserve">J. Chem. Inf. Model. 55(11)</w:t>
      </w:r>
      <w:r>
        <w:t xml:space="preserve">:2324–2337.</w:t>
      </w:r>
      <w:bookmarkEnd w:id="210"/>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cameo"/>
      <w:r>
        <w:t xml:space="preserve">NIST CAMEO Chemicals: Database of Hazardous Materials and Reactivity.</w:t>
      </w:r>
      <w:r>
        <w:t xml:space="preserve"> </w:t>
      </w:r>
      <w:hyperlink r:id="rId211">
        <w:r>
          <w:rPr>
            <w:rStyle w:val="Hyperlink"/>
          </w:rPr>
          <w:t xml:space="preserve">cameochemicals.noaa.gov</w:t>
        </w:r>
      </w:hyperlink>
      <w:r>
        <w:t xml:space="preserve">.</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bondi1964vdw"/>
      <w:r>
        <w:t xml:space="preserve">Bondi, A. (1964). van der Waals Volumes and Radii.</w:t>
      </w:r>
      <w:r>
        <w:t xml:space="preserve"> </w:t>
      </w:r>
      <w:r>
        <w:rPr>
          <w:i/>
          <w:iCs/>
        </w:rPr>
        <w:t xml:space="preserve">J. Phys. Chem. 68(3)</w:t>
      </w:r>
      <w:r>
        <w:t xml:space="preserve">:441–451. doi:10.1021/j100785a001.</w:t>
      </w:r>
      <w:bookmarkEnd w:id="214"/>
    </w:p>
    <w:p>
      <w:pPr>
        <w:pStyle w:val="ReferenceEntry"/>
        <w:spacing w:after="100"/>
        <w:ind w:left="475" w:hanging="475"/>
        <w:jc w:val="left"/>
        <w:keepNext w:val="0"/>
        <w:keepLines w:val="0"/>
        <w:widowControl w:val="1"/>
      </w:pPr>
      <w:r>
        <w:rPr>
          <w:rFonts w:ascii="Times New Roman" w:hAnsi="Times New Roman"/>
          <w:sz w:val="20"/>
        </w:rPr>
        <w:t xml:space="preserve">72. </w:t>
      </w:r>
      <w:bookmarkStart w:id="215"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5"/>
    </w:p>
    <w:bookmarkEnd w:id="21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6" Type="http://schemas.openxmlformats.org/officeDocument/2006/relationships/image" Target="media/rId106.png"/><Relationship Id="rId119" Type="http://schemas.openxmlformats.org/officeDocument/2006/relationships/image" Target="media/rId119.png"/><Relationship Id="rId110" Type="http://schemas.openxmlformats.org/officeDocument/2006/relationships/image" Target="media/rId110.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2" Type="http://schemas.openxmlformats.org/officeDocument/2006/relationships/image" Target="media/rId132.png"/><Relationship Id="rId102" Type="http://schemas.openxmlformats.org/officeDocument/2006/relationships/image" Target="media/rId102.png"/><Relationship Id="rId127" Type="http://schemas.openxmlformats.org/officeDocument/2006/relationships/image" Target="media/rId127.png"/><Relationship Id="rId123" Type="http://schemas.openxmlformats.org/officeDocument/2006/relationships/image" Target="media/rId123.png"/><Relationship Id="rId12" Type="http://schemas.openxmlformats.org/officeDocument/2006/relationships/image" Target="media/rId12.png"/><Relationship Id="rId211"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1"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2026-08-01T04:19:01Z</dcterms:created>
  <dcterms:modified xsi:type="dcterms:W3CDTF">2026-08-01T04:19:01Z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