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18keywords"/>
        <w:ind w:left="2608"/>
      </w:pPr>
      <w:r>
        <w:rPr>
          <w:b/>
          <w:bCs/>
        </w:rPr>
        <w:t xml:space="preserve">Table A.1.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6"/>
        <w:gridCol w:w="3355"/>
        <w:gridCol w:w="1187"/>
        <w:gridCol w:w="1160"/>
        <w:gridCol w:w="91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Hand-compilation of experimental</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for known nitro / nitramine / azide / tetrazole compounds, drawn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[60]</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casey2020prediction">
              <w:r>
                <w:rPr>
                  <w:rStyle w:val="Hyperlink"/>
                  <w:sz w:val="18"/>
                  <w:szCs w:val="18"/>
                </w:rPr>
                <w:t xml:space="preserve">[15]</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[62]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3D-CNN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[22]</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[63]</w:t>
              </w:r>
            </w:hyperlink>
            <w:r>
              <w:rPr>
                <w:sz w:val="18"/>
                <w:szCs w:val="18"/>
              </w:rPr>
              <w:t xml:space="preserve">,</w:t>
            </w:r>
            <w:r>
              <w:rPr>
                <w:sz w:val="18"/>
                <w:szCs w:val="18"/>
              </w:rPr>
              <w:t xml:space="preserve"> </w:t>
            </w:r>
            <w:hyperlink w:anchor="ref-bruns2020watson">
              <w:r>
                <w:rPr>
                  <w:rStyle w:val="Hyperlink"/>
                  <w:sz w:val="18"/>
                  <w:szCs w:val="18"/>
                </w:rPr>
                <w:t xml:space="preserve">[64]</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[58]</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[23]</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[65]</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the Supplementary Information;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 / Section 4) and the multi-task score model; the Random Forest and smoke ensemble do not appear in the sampling loop. The smoke ensemble is additionally invoked once per surviving candidate at re-ranking (Stage 1) to produce the (8-output) post-rerank property scores.</w:t>
      </w:r>
    </w:p>
    <w:p>
      <w:pPr>
        <w:pStyle w:val="MDPI18keywords"/>
        <w:ind w:left="2608"/>
      </w:pPr>
      <w:r>
        <w:rPr>
          <w:b/>
          <w:bCs/>
        </w:rPr>
        <w:t xml:space="preserve">Table B.1a.</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4a)</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18keywords"/>
        <w:ind w:left="2608"/>
      </w:pPr>
      <w:r>
        <w:rPr>
          <w:b/>
          <w:bCs/>
        </w:rPr>
        <w:t xml:space="preserve">Table B.1b.</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4"/>
        <w:gridCol w:w="1989"/>
        <w:gridCol w:w="4225"/>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4c)</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w:t>
            </w:r>
          </w:p>
        </w:tc>
      </w:tr>
      <w:tr>
        <w:tc>
          <w:tcPr>
            <w:vMerge w:val="restart"/>
            <w:vAlign w:val="center"/>
          </w:tcPr>
          <w:p>
            <w:pPr>
              <w:pStyle w:val="Compact"/>
              <w:suppressAutoHyphens/>
              <w:jc w:val="center"/>
            </w:pPr>
            <w:r>
              <w:rPr>
                <w:sz w:val="18"/>
                <w:szCs w:val="18"/>
              </w:rPr>
              <w:t xml:space="preserve">Multi-task score model (Fig 4e1, 4f)</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18keywords"/>
        <w:ind w:left="2608"/>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4"/>
        <w:gridCol w:w="2108"/>
        <w:gridCol w:w="375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(the Supplementary Information)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the Supplementary Information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Appendix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[58a]</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Information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(Appendix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the Supplementary Information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 Architecture (drug-domain transfer paragraph); Section 4 Sample-time gradient (the "Why</w:t>
      </w:r>
      <w:r>
        <w:t xml:space="preserve"> </w:t>
      </w:r>
      <m:oMath>
        <m:sSub>
          <m:e>
            <m:r>
              <m:t>s</m:t>
            </m:r>
          </m:e>
          <m:sub>
            <m:r>
              <m:rPr>
                <m:nor/>
                <m:sty m:val="p"/>
              </m:rPr>
              <m:t>SA</m:t>
            </m:r>
          </m:sub>
        </m:sSub>
        <m:r>
          <m:rPr>
            <m:sty m:val="p"/>
          </m:rPr>
          <m:t>=</m:t>
        </m:r>
        <m:r>
          <m:t>0</m:t>
        </m:r>
      </m:oMath>
      <w:r>
        <w:t xml:space="preserve"> </w:t>
      </w:r>
      <w:r>
        <w:t xml:space="preserve">and where SC is" paragraph); the Supplementary Information Multi-seed pattern (the SA-C3-vs-SA-C2 numerical result). This appendix consolidates them.</w:t>
      </w:r>
    </w:p>
    <w:p>
      <w:pPr>
        <w:pStyle w:val="MDPI23heading3"/>
        <w:ind w:left="2608"/>
      </w:pPr>
      <w:r>
        <w:t xml:space="preserve">B.5 Production recipe (Table B.5)</w:t>
      </w:r>
    </w:p>
    <w:p>
      <w:pPr>
        <w:pStyle w:val="MDPI18keywords"/>
        <w:ind w:left="2608"/>
      </w:pPr>
      <w:r>
        <w:t xml:space="preserve">Complete configuration used throughout Section 2.2–Section 2.5. Each knob traces to the Section 2.6 ablation (or Section 4 hyperparameter sweep) that selected it.</w:t>
      </w:r>
    </w:p>
    <w:p>
      <w:pPr>
        <w:pStyle w:val="MDPI18keywords"/>
        <w:ind w:left="2608"/>
      </w:pPr>
      <w:r>
        <w:rPr>
          <w:b/>
          <w:bCs/>
        </w:rPr>
        <w:t xml:space="preserve">Table B.5.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0"/>
        <w:gridCol w:w="3436"/>
        <w:gridCol w:w="2732"/>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the Supplementary Information; Section 4,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 the Supplementary Information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the Supplementary Information, the Supplementary Information</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the Supplementary Information</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 the Supplementary Information</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the Supplementary Information</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[15]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[Goerigk2017]</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[15]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[Bondi1964]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Appendix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18keywords"/>
        <w:ind w:left="2608"/>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18keywords"/>
        <w:ind w:left="2608"/>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[huang2021]</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18keywords"/>
        <w:ind w:left="2608"/>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18keywords"/>
        <w:ind w:left="2608"/>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Appendix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18keywords"/>
        <w:ind w:left="2608"/>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the Supplementary Information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18keywords"/>
        <w:ind w:left="2608"/>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18keywords"/>
        <w:ind w:left="2608"/>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C.4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C.2.</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18keywords"/>
        <w:ind w:left="2608"/>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DNTF 7th-anchor extension attempt.</w:t>
      </w:r>
      <w:r>
        <w:t xml:space="preserve"> </w:t>
      </w: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 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[11a]</w:t>
        </w:r>
      </w:hyperlink>
      <w:r>
        <w:t xml:space="preserve">, so we treat the gap as a triage signal rather than a final verdict; molecules clearing the 1.5 eV gate are promoted to Stage 4 DFT, and motif-level shock and friction risks are caught by the parallel SMARTS gate (Stage 1, Section 4).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the Supplementary Information.</w:t>
      </w:r>
    </w:p>
    <w:p>
      <w:pPr>
        <w:pStyle w:val="MDPI18keywords"/>
        <w:ind w:left="2608"/>
      </w:pPr>
      <w:r>
        <w:rPr>
          <w:b/>
          <w:bCs/>
        </w:rPr>
        <w:t xml:space="preserve">D.4 High-tail oversampling ablation.</w:t>
      </w:r>
      <w:r>
        <w:t xml:space="preserve"> </w:t>
      </w:r>
      <w:r>
        <w:t xml:space="preserve">Reverting the asymmetric oversampling of Section 4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18keywords"/>
        <w:ind w:left="2608"/>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the Supplementary Information:</w:t>
      </w:r>
    </w:p>
    <w:p>
      <w:pPr>
        <w:pStyle w:val="MDPI18keywords"/>
        <w:ind w:left="2608"/>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18keywords"/>
        <w:ind w:left="2608"/>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18keywords"/>
        <w:ind w:left="2608"/>
      </w:pPr>
      <w:r>
        <w:rPr>
          <w:b/>
          <w:bCs/>
        </w:rPr>
        <w:t xml:space="preserve">Table D.7.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[46]</w:t>
        </w:r>
      </w:hyperlink>
      <w:r>
        <w:t xml:space="preserve"> </w:t>
      </w:r>
      <w:r>
        <w:t xml:space="preserve">on the four guidance conditions of the Supplementary Information at pool=10 000 each (10k SMILES per condition):</w:t>
      </w:r>
    </w:p>
    <w:p>
      <w:pPr>
        <w:pStyle w:val="MDPI18keywords"/>
        <w:ind w:left="2608"/>
      </w:pPr>
      <w:r>
        <w:rPr>
          <w:b/>
          <w:bCs/>
        </w:rPr>
        <w:t xml:space="preserve">Table D.4.</w:t>
      </w:r>
      <w:r>
        <w:t xml:space="preserve"> </w:t>
      </w:r>
      <w:r>
        <w:t xml:space="preserve">MOSES-style distribution-learning metrics on each of the four guidance conditions of the Supplementary Information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18keywords"/>
        <w:ind w:left="2608"/>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D.4):</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[47]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18keywords"/>
        <w:ind w:left="2608"/>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Information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(the Supplementary Information);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the Supplementary Information).</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Information composite.</w:t>
      </w:r>
    </w:p>
    <w:p>
      <w:pPr>
        <w:pStyle w:val="MDPI23heading3"/>
        <w:ind w:left="2608"/>
      </w:pPr>
      <w:r>
        <w:t xml:space="preserve">D.12 Hazard-head post-hoc filtering</w:t>
      </w:r>
    </w:p>
    <w:p>
      <w:pPr>
        <w:pStyle w:val="MDPI18keywords"/>
        <w:ind w:left="2608"/>
      </w:pPr>
      <w:r>
        <w:t xml:space="preserve">Applying Section 4 hazard-head-as-rerank-weight to the merged top-100, scored against the chemist-curated SMARTS catalog, gives the following alignment:</w:t>
      </w:r>
    </w:p>
    <w:p>
      <w:pPr>
        <w:pStyle w:val="MDPI18keywords"/>
        <w:ind w:left="2608"/>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[sabatini2018]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18keywords"/>
        <w:ind w:left="2608"/>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18keywords"/>
        <w:ind w:left="2608"/>
      </w:pPr>
      <w:r>
        <w:rPr>
          <w:b/>
          <w:bCs/>
        </w:rPr>
        <w:t xml:space="preserve">Table E.2.</w:t>
      </w:r>
      <w:r>
        <w:t xml:space="preserve"> </w:t>
      </w:r>
      <w:r>
        <w:t xml:space="preserve">Ten most-novel CHNO-neutral candidates from the SMILES-LSTM pool. Columns as Table E.1.</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the Supplementary Information</w:t>
        </w:r>
      </w:hyperlink>
      <w:r>
        <w:t xml:space="preserve">; the SC-gradient sweep and the heuristic-vs-literature sensitivity-head ablation the Supplementary Information are in</w:t>
      </w:r>
      <w:r>
        <w:t xml:space="preserve"> </w:t>
      </w:r>
      <w:hyperlink w:anchor="sec-app">
        <w:r>
          <w:rPr>
            <w:rStyle w:val="Hyperlink"/>
          </w:rPr>
          <w:t xml:space="preserve">the Supplementary Information</w:t>
        </w:r>
      </w:hyperlink>
      <w:r>
        <w:t xml:space="preserve">.</w:t>
      </w:r>
    </w:p>
    <w:p>
      <w:pPr>
        <w:pStyle w:val="MDPI18keywords"/>
        <w:ind w:left="2608"/>
      </w:pPr>
      <w:r>
        <w:rPr>
          <w:b/>
          <w:bCs/>
        </w:rPr>
        <w:t xml:space="preserve">Table F.1.</w:t>
      </w:r>
      <w:r>
        <w:t xml:space="preserve"> </w:t>
      </w:r>
      <w:r>
        <w:t xml:space="preserve">Hard-negative budget effect on the held-out 7-anchor / 5-cheat probe (numbers from the Supplementary Information.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An initial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18keywords"/>
        <w:ind w:left="2608"/>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18keywords"/>
        <w:ind w:left="2608"/>
      </w:pPr>
      <w:r>
        <w:rPr>
          <w:b/>
          <w:bCs/>
        </w:rPr>
        <w:t xml:space="preserve">Table F.3.</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the Supplementary Information for the full SA / SC drug-domain transfer-head story.)</w:t>
      </w:r>
    </w:p>
    <w:p>
      <w:pPr>
        <w:pStyle w:val="MDPI18keywords"/>
        <w:ind w:left="2608"/>
      </w:pPr>
      <w:r>
        <w:t xml:space="preserve">To put the Supplementary Information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18keywords"/>
        <w:ind w:left="2608"/>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Information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the Supplementary Information</w:t>
        </w:r>
      </w:hyperlink>
      <w:r>
        <w:t xml:space="preserve">. As a complementary ablation on the same axis, Section 4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the Supplementary Information.</w:t>
      </w:r>
    </w:p>
    <w:p>
      <w:pPr>
        <w:pStyle w:val="MDPI23heading3"/>
        <w:ind w:left="2608"/>
      </w:pPr>
      <w:r>
        <w:t xml:space="preserve">F.5 M7 five-lane 100k-pool run</w:t>
      </w:r>
    </w:p>
    <w:p>
      <w:pPr>
        <w:pStyle w:val="MDPI18keywords"/>
        <w:ind w:left="2608"/>
      </w:pPr>
      <w:r>
        <w:t xml:space="preserve">The the Supplementary Information/the Supplementary Information ablations each use pool = 10 000 per condition; the Supplementary Information at pool = 40k uses a single lane per denoiser. To verify that pool-fusion continues to pay off beyond 40k, a 100k-pool M7 experiment ran five sampling lanes with seeds 3–4; the top-200 candidates were re-ranked by Section 4 composite.</w:t>
      </w:r>
    </w:p>
    <w:p>
      <w:pPr>
        <w:pStyle w:val="MDPI18keywords"/>
        <w:ind w:left="2608"/>
      </w:pPr>
      <w:r>
        <w:rPr>
          <w:b/>
          <w:bCs/>
        </w:rPr>
        <w:t xml:space="preserve">Table F.5.</w:t>
      </w:r>
      <w:r>
        <w:t xml:space="preserve"> </w:t>
      </w:r>
      <w:r>
        <w:t xml:space="preserve">M7 five-lane 100k pool-fusion results vs the Supplementary Information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36"/>
        <w:gridCol w:w="719"/>
        <w:gridCol w:w="749"/>
        <w:gridCol w:w="670"/>
        <w:gridCol w:w="708"/>
        <w:gridCol w:w="683"/>
        <w:gridCol w:w="777"/>
        <w:gridCol w:w="985"/>
        <w:gridCol w:w="731"/>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(the Supplementary Information)</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 Section 4)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18keywords"/>
        <w:ind w:left="2608"/>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1"/>
        <w:gridCol w:w="725"/>
        <w:gridCol w:w="1091"/>
        <w:gridCol w:w="698"/>
        <w:gridCol w:w="689"/>
        <w:gridCol w:w="2373"/>
        <w:gridCol w:w="771"/>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see the Supplementary Information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47"/>
    </w:p>
    <w:p>
      <w:pPr>
        <w:pStyle w:val="MDPI81references"/>
        <w:numPr>
          <w:ilvl w:val="0"/>
          <w:numId w:val="0"/>
        </w:numPr>
        <w:ind w:left="180" w:hanging="180"/>
      </w:pPr>
      <w:bookmarkStart w:id="4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48"/>
    </w:p>
    <w:p>
      <w:pPr>
        <w:pStyle w:val="MDPI81references"/>
        <w:numPr>
          <w:ilvl w:val="0"/>
          <w:numId w:val="0"/>
        </w:numPr>
        <w:ind w:left="180" w:hanging="180"/>
      </w:pPr>
      <w:bookmarkStart w:id="4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49"/>
    </w:p>
    <w:p>
      <w:pPr>
        <w:pStyle w:val="MDPI81references"/>
        <w:numPr>
          <w:ilvl w:val="0"/>
          <w:numId w:val="0"/>
        </w:numPr>
        <w:ind w:left="180" w:hanging="180"/>
      </w:pPr>
      <w:bookmarkStart w:id="50" w:name="ref-reidenbach2023molmim"/>
      <w:r>
        <w:t xml:space="preserve">Reidenbach, D., Livne, M., Ilango, R. K., Gill, M., &amp; Israeli, J. (2023). MolMIM: A Molecular Language Model for Property-Guided Molecule Generation via Mutual Information Machines. (MLDD Workshop, ICLR 2023; arXiv:2208.09016).</w:t>
      </w:r>
      <w:bookmarkEnd w:id="50"/>
    </w:p>
    <w:p>
      <w:pPr>
        <w:pStyle w:val="MDPI81references"/>
        <w:numPr>
          <w:ilvl w:val="0"/>
          <w:numId w:val="0"/>
        </w:numPr>
        <w:ind w:left="180" w:hanging="180"/>
      </w:pPr>
      <w:bookmarkStart w:id="5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51"/>
    </w:p>
    <w:p>
      <w:pPr>
        <w:pStyle w:val="MDPI81references"/>
        <w:numPr>
          <w:ilvl w:val="0"/>
          <w:numId w:val="0"/>
        </w:numPr>
        <w:ind w:left="180" w:hanging="180"/>
      </w:pPr>
      <w:bookmarkStart w:id="5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52"/>
    </w:p>
    <w:p>
      <w:pPr>
        <w:pStyle w:val="MDPI81references"/>
        <w:numPr>
          <w:ilvl w:val="0"/>
          <w:numId w:val="0"/>
        </w:numPr>
        <w:ind w:left="180" w:hanging="180"/>
      </w:pPr>
      <w:bookmarkStart w:id="5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53"/>
    </w:p>
    <w:p>
      <w:pPr>
        <w:pStyle w:val="MDPI81references"/>
        <w:numPr>
          <w:ilvl w:val="0"/>
          <w:numId w:val="0"/>
        </w:numPr>
        <w:ind w:left="180" w:hanging="180"/>
      </w:pPr>
      <w:bookmarkStart w:id="54" w:name="ref-vignac2023digress"/>
      <w:r>
        <w:t xml:space="preserve">Vignac, C. et al. (2023). DiGress: Discrete Denoising Diffusion for Graph Generation.</w:t>
      </w:r>
      <w:r>
        <w:t xml:space="preserve"> </w:t>
      </w:r>
      <w:r>
        <w:rPr>
          <w:i/>
          <w:iCs/>
        </w:rPr>
        <w:t xml:space="preserve">ICLR 2023</w:t>
      </w:r>
      <w:r>
        <w:t xml:space="preserve">. arXiv:2209.14734.</w:t>
      </w:r>
      <w:bookmarkEnd w:id="54"/>
    </w:p>
    <w:p>
      <w:pPr>
        <w:pStyle w:val="MDPI81references"/>
        <w:numPr>
          <w:ilvl w:val="0"/>
          <w:numId w:val="0"/>
        </w:numPr>
        <w:ind w:left="180" w:hanging="180"/>
      </w:pPr>
      <w:bookmarkStart w:id="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55"/>
    </w:p>
    <w:p>
      <w:pPr>
        <w:pStyle w:val="MDPI81references"/>
        <w:numPr>
          <w:ilvl w:val="0"/>
          <w:numId w:val="0"/>
        </w:numPr>
        <w:ind w:left="180" w:hanging="180"/>
      </w:pPr>
      <w:bookmarkStart w:id="5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56"/>
    </w:p>
    <w:p>
      <w:pPr>
        <w:pStyle w:val="MDPI81references"/>
        <w:numPr>
          <w:ilvl w:val="0"/>
          <w:numId w:val="0"/>
        </w:numPr>
        <w:ind w:left="180" w:hanging="180"/>
      </w:pPr>
      <w:bookmarkStart w:id="5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57"/>
    </w:p>
    <w:p>
      <w:pPr>
        <w:pStyle w:val="MDPI81references"/>
        <w:numPr>
          <w:ilvl w:val="0"/>
          <w:numId w:val="0"/>
        </w:numPr>
        <w:ind w:left="180" w:hanging="180"/>
      </w:pPr>
      <w:bookmarkStart w:id="59" w:name="ref-daylight-smarts"/>
      <w:r>
        <w:t xml:space="preserve">Daylight Chemical Information Systems. (2007). SMARTS: A Language for Describing Molecular Patterns. Daylight Theory Manual, Aliso Viejo, CA.</w:t>
      </w:r>
      <w:r>
        <w:t xml:space="preserve"> </w:t>
      </w:r>
      <w:hyperlink r:id="rId2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59"/>
    </w:p>
    <w:p>
      <w:pPr>
        <w:pStyle w:val="MDPI81references"/>
        <w:numPr>
          <w:ilvl w:val="0"/>
          <w:numId w:val="0"/>
        </w:numPr>
        <w:ind w:left="180" w:hanging="180"/>
      </w:pPr>
      <w:bookmarkStart w:id="6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60"/>
    </w:p>
    <w:p>
      <w:pPr>
        <w:pStyle w:val="MDPI81references"/>
        <w:numPr>
          <w:ilvl w:val="0"/>
          <w:numId w:val="0"/>
        </w:numPr>
        <w:ind w:left="180" w:hanging="180"/>
      </w:pPr>
      <w:bookmarkStart w:id="6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MDPI81references"/>
        <w:numPr>
          <w:ilvl w:val="0"/>
          <w:numId w:val="0"/>
        </w:numPr>
        <w:ind w:left="180" w:hanging="180"/>
      </w:pPr>
      <w:bookmarkStart w:id="6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MDPI81references"/>
        <w:numPr>
          <w:ilvl w:val="0"/>
          <w:numId w:val="0"/>
        </w:numPr>
        <w:ind w:left="180" w:hanging="180"/>
      </w:pPr>
      <w:bookmarkStart w:id="6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63"/>
    </w:p>
    <w:p>
      <w:pPr>
        <w:pStyle w:val="MDPI81references"/>
        <w:numPr>
          <w:ilvl w:val="0"/>
          <w:numId w:val="0"/>
        </w:numPr>
        <w:ind w:left="180" w:hanging="180"/>
      </w:pPr>
      <w:bookmarkStart w:id="6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64"/>
    </w:p>
    <w:p>
      <w:pPr>
        <w:pStyle w:val="MDPI81references"/>
        <w:numPr>
          <w:ilvl w:val="0"/>
          <w:numId w:val="0"/>
        </w:numPr>
        <w:ind w:left="180" w:hanging="180"/>
      </w:pPr>
      <w:bookmarkStart w:id="65"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67"/>
    </w:p>
    <w:p>
      <w:pPr>
        <w:pStyle w:val="MDPI81references"/>
        <w:numPr>
          <w:ilvl w:val="0"/>
          <w:numId w:val="0"/>
        </w:numPr>
        <w:ind w:left="180" w:hanging="180"/>
      </w:pPr>
      <w:bookmarkStart w:id="6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68"/>
    </w:p>
    <w:p>
      <w:pPr>
        <w:pStyle w:val="MDPI81references"/>
        <w:numPr>
          <w:ilvl w:val="0"/>
          <w:numId w:val="0"/>
        </w:numPr>
        <w:ind w:left="180" w:hanging="180"/>
      </w:pPr>
      <w:bookmarkStart w:id="6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9"/>
    </w:p>
    <w:p>
      <w:pPr>
        <w:pStyle w:val="MDPI81references"/>
        <w:numPr>
          <w:ilvl w:val="0"/>
          <w:numId w:val="0"/>
        </w:numPr>
        <w:ind w:left="180" w:hanging="180"/>
      </w:pPr>
      <w:bookmarkStart w:id="7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70"/>
    </w:p>
    <w:p>
      <w:pPr>
        <w:pStyle w:val="MDPI81references"/>
        <w:numPr>
          <w:ilvl w:val="0"/>
          <w:numId w:val="0"/>
        </w:numPr>
        <w:ind w:left="180" w:hanging="180"/>
      </w:pPr>
      <w:bookmarkStart w:id="71" w:name="ref-ho2022cfg"/>
      <w:r>
        <w:t xml:space="preserve">Ho, J., &amp; Salimans, T. (2022). Classifier-Free Diffusion Guidance. arXiv:2207.12598.</w:t>
      </w:r>
      <w:bookmarkEnd w:id="71"/>
    </w:p>
    <w:p>
      <w:pPr>
        <w:pStyle w:val="MDPI81references"/>
        <w:numPr>
          <w:ilvl w:val="0"/>
          <w:numId w:val="0"/>
        </w:numPr>
        <w:ind w:left="180" w:hanging="180"/>
      </w:pPr>
      <w:bookmarkStart w:id="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72"/>
    </w:p>
    <w:p>
      <w:pPr>
        <w:pStyle w:val="MDPI81references"/>
        <w:numPr>
          <w:ilvl w:val="0"/>
          <w:numId w:val="0"/>
        </w:numPr>
        <w:ind w:left="180" w:hanging="180"/>
      </w:pPr>
      <w:bookmarkStart w:id="7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73"/>
    </w:p>
    <w:p>
      <w:pPr>
        <w:pStyle w:val="MDPI81references"/>
        <w:numPr>
          <w:ilvl w:val="0"/>
          <w:numId w:val="0"/>
        </w:numPr>
        <w:ind w:left="180" w:hanging="180"/>
      </w:pPr>
      <w:bookmarkStart w:id="7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74"/>
    </w:p>
    <w:p>
      <w:pPr>
        <w:pStyle w:val="MDPI81references"/>
        <w:numPr>
          <w:ilvl w:val="0"/>
          <w:numId w:val="0"/>
        </w:numPr>
        <w:ind w:left="180" w:hanging="180"/>
      </w:pPr>
      <w:bookmarkStart w:id="75" w:name="ref-ho2020ddpm"/>
      <w:r>
        <w:t xml:space="preserve">Ho, J., Jain, A., &amp; Abbeel, P. (2020). Denoising Diffusion Probabilistic Models.</w:t>
      </w:r>
      <w:r>
        <w:t xml:space="preserve"> </w:t>
      </w:r>
      <w:r>
        <w:rPr>
          <w:i/>
          <w:iCs/>
        </w:rPr>
        <w:t xml:space="preserve">NeurIPS 2020</w:t>
      </w:r>
      <w:r>
        <w:t xml:space="preserve">. arXiv:2006.11239.</w:t>
      </w:r>
      <w:bookmarkEnd w:id="75"/>
    </w:p>
    <w:p>
      <w:pPr>
        <w:pStyle w:val="MDPI81references"/>
        <w:numPr>
          <w:ilvl w:val="0"/>
          <w:numId w:val="0"/>
        </w:numPr>
        <w:ind w:left="180" w:hanging="180"/>
      </w:pPr>
      <w:bookmarkStart w:id="7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76"/>
    </w:p>
    <w:p>
      <w:pPr>
        <w:pStyle w:val="MDPI81references"/>
        <w:numPr>
          <w:ilvl w:val="0"/>
          <w:numId w:val="0"/>
        </w:numPr>
        <w:ind w:left="180" w:hanging="180"/>
      </w:pPr>
      <w:bookmarkStart w:id="7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7"/>
    </w:p>
    <w:p>
      <w:pPr>
        <w:pStyle w:val="MDPI81references"/>
        <w:numPr>
          <w:ilvl w:val="0"/>
          <w:numId w:val="0"/>
        </w:numPr>
        <w:ind w:left="180" w:hanging="180"/>
      </w:pPr>
      <w:bookmarkStart w:id="7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78"/>
    </w:p>
    <w:p>
      <w:pPr>
        <w:pStyle w:val="MDPI81references"/>
        <w:numPr>
          <w:ilvl w:val="0"/>
          <w:numId w:val="0"/>
        </w:numPr>
        <w:ind w:left="180" w:hanging="180"/>
      </w:pPr>
      <w:bookmarkStart w:id="7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79"/>
    </w:p>
    <w:p>
      <w:pPr>
        <w:pStyle w:val="MDPI81references"/>
        <w:numPr>
          <w:ilvl w:val="0"/>
          <w:numId w:val="0"/>
        </w:numPr>
        <w:ind w:left="180" w:hanging="180"/>
      </w:pPr>
      <w:bookmarkStart w:id="80" w:name="ref-rogers1960computer"/>
      <w:r>
        <w:t xml:space="preserve">Rogers, D. J., &amp; Tanimoto, T. T. (1960). A Computer Program for Classifying Plants.</w:t>
      </w:r>
      <w:r>
        <w:t xml:space="preserve"> </w:t>
      </w:r>
      <w:r>
        <w:rPr>
          <w:i/>
          <w:iCs/>
        </w:rPr>
        <w:t xml:space="preserve">Science 132(3434)</w:t>
      </w:r>
      <w:r>
        <w:t xml:space="preserve">:1115–1118.</w:t>
      </w:r>
      <w:bookmarkEnd w:id="80"/>
    </w:p>
    <w:p>
      <w:pPr>
        <w:pStyle w:val="MDPI81references"/>
        <w:numPr>
          <w:ilvl w:val="0"/>
          <w:numId w:val="0"/>
        </w:numPr>
        <w:ind w:left="180" w:hanging="180"/>
      </w:pPr>
      <w:bookmarkStart w:id="82"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82"/>
    </w:p>
    <w:p>
      <w:pPr>
        <w:pStyle w:val="MDPI81references"/>
        <w:numPr>
          <w:ilvl w:val="0"/>
          <w:numId w:val="0"/>
        </w:numPr>
        <w:ind w:left="180" w:hanging="180"/>
      </w:pPr>
      <w:bookmarkStart w:id="83" w:name="ref-sterling2015zinc"/>
      <w:r>
        <w:t xml:space="preserve">Sterling, T., &amp; Irwin, J. J. (2015). ZINC 15: Ligand Discovery for Everyone.</w:t>
      </w:r>
      <w:r>
        <w:t xml:space="preserve"> </w:t>
      </w:r>
      <w:r>
        <w:rPr>
          <w:i/>
          <w:iCs/>
        </w:rPr>
        <w:t xml:space="preserve">J. Chem. Inf. Model. 55(11)</w:t>
      </w:r>
      <w:r>
        <w:t xml:space="preserve">:2324–2337.</w:t>
      </w:r>
      <w:bookmarkEnd w:id="83"/>
    </w:p>
    <w:p>
      <w:pPr>
        <w:pStyle w:val="MDPI81references"/>
        <w:numPr>
          <w:ilvl w:val="0"/>
          <w:numId w:val="0"/>
        </w:numPr>
        <w:ind w:left="180" w:hanging="180"/>
      </w:pPr>
      <w:bookmarkStart w:id="84" w:name="ref-kim2023pubchem"/>
      <w:r>
        <w:t xml:space="preserve">Kim, S. et al. (2023). PubChem 2023 Update.</w:t>
      </w:r>
      <w:r>
        <w:t xml:space="preserve"> </w:t>
      </w:r>
      <w:r>
        <w:rPr>
          <w:i/>
          <w:iCs/>
        </w:rPr>
        <w:t xml:space="preserve">Nucleic Acids Res. 51(D1)</w:t>
      </w:r>
      <w:r>
        <w:t xml:space="preserve">:D1373–D1380.</w:t>
      </w:r>
      <w:bookmarkEnd w:id="84"/>
    </w:p>
    <w:p>
      <w:pPr>
        <w:pStyle w:val="MDPI81references"/>
        <w:numPr>
          <w:ilvl w:val="0"/>
          <w:numId w:val="0"/>
        </w:numPr>
        <w:ind w:left="180" w:hanging="180"/>
      </w:pPr>
      <w:bookmarkStart w:id="85" w:name="ref-jaegle2021perceiver"/>
      <w:r>
        <w:t xml:space="preserve">Jaegle, A. et al. (2021). Perceiver: General Perception with Iterative Attention.</w:t>
      </w:r>
      <w:r>
        <w:t xml:space="preserve"> </w:t>
      </w:r>
      <w:r>
        <w:rPr>
          <w:i/>
          <w:iCs/>
        </w:rPr>
        <w:t xml:space="preserve">ICML 2021</w:t>
      </w:r>
      <w:r>
        <w:t xml:space="preserve">. arXiv:2103.03206.</w:t>
      </w:r>
      <w:bookmarkEnd w:id="85"/>
    </w:p>
    <w:p>
      <w:pPr>
        <w:pStyle w:val="MDPI81references"/>
        <w:numPr>
          <w:ilvl w:val="0"/>
          <w:numId w:val="0"/>
        </w:numPr>
        <w:ind w:left="180" w:hanging="180"/>
      </w:pPr>
      <w:bookmarkStart w:id="8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86"/>
    </w:p>
    <w:p>
      <w:pPr>
        <w:pStyle w:val="MDPI81references"/>
        <w:numPr>
          <w:ilvl w:val="0"/>
          <w:numId w:val="0"/>
        </w:numPr>
        <w:ind w:left="180" w:hanging="180"/>
      </w:pPr>
      <w:bookmarkStart w:id="8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87"/>
    </w:p>
    <w:p>
      <w:pPr>
        <w:pStyle w:val="MDPI81references"/>
        <w:numPr>
          <w:ilvl w:val="0"/>
          <w:numId w:val="0"/>
        </w:numPr>
        <w:ind w:left="180" w:hanging="180"/>
      </w:pPr>
      <w:bookmarkStart w:id="8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88"/>
    </w:p>
    <w:p>
      <w:pPr>
        <w:pStyle w:val="MDPI81references"/>
        <w:numPr>
          <w:ilvl w:val="0"/>
          <w:numId w:val="0"/>
        </w:numPr>
        <w:ind w:left="180" w:hanging="180"/>
      </w:pPr>
      <w:bookmarkStart w:id="8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89"/>
    </w:p>
    <w:p>
      <w:pPr>
        <w:pStyle w:val="MDPI81references"/>
        <w:numPr>
          <w:ilvl w:val="0"/>
          <w:numId w:val="0"/>
        </w:numPr>
        <w:ind w:left="180" w:hanging="180"/>
      </w:pPr>
      <w:bookmarkStart w:id="9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90"/>
    </w:p>
    <w:p>
      <w:pPr>
        <w:pStyle w:val="MDPI81references"/>
        <w:numPr>
          <w:ilvl w:val="0"/>
          <w:numId w:val="0"/>
        </w:numPr>
        <w:ind w:left="180" w:hanging="180"/>
      </w:pPr>
      <w:bookmarkStart w:id="9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91"/>
    </w:p>
    <w:p>
      <w:pPr>
        <w:pStyle w:val="MDPI81references"/>
        <w:numPr>
          <w:ilvl w:val="0"/>
          <w:numId w:val="0"/>
        </w:numPr>
        <w:ind w:left="180" w:hanging="180"/>
      </w:pPr>
      <w:bookmarkStart w:id="9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2"/>
    </w:p>
    <w:p>
      <w:pPr>
        <w:pStyle w:val="MDPI81references"/>
        <w:numPr>
          <w:ilvl w:val="0"/>
          <w:numId w:val="0"/>
        </w:numPr>
        <w:ind w:left="180" w:hanging="180"/>
      </w:pPr>
      <w:bookmarkStart w:id="9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5"/>
    </w:p>
    <w:p>
      <w:pPr>
        <w:pStyle w:val="MDPI81references"/>
        <w:numPr>
          <w:ilvl w:val="0"/>
          <w:numId w:val="0"/>
        </w:numPr>
        <w:ind w:left="180" w:hanging="180"/>
      </w:pPr>
      <w:bookmarkStart w:id="9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96"/>
    </w:p>
    <w:p>
      <w:pPr>
        <w:pStyle w:val="MDPI81references"/>
        <w:numPr>
          <w:ilvl w:val="0"/>
          <w:numId w:val="0"/>
        </w:numPr>
        <w:ind w:left="180" w:hanging="180"/>
      </w:pPr>
      <w:bookmarkStart w:id="97" w:name="ref-klapotke2017nitrogen"/>
      <w:r>
        <w:t xml:space="preserve">Klapötke, T. M.</w:t>
      </w:r>
      <w:r>
        <w:t xml:space="preserve"> </w:t>
      </w:r>
      <w:r>
        <w:rPr>
          <w:i/>
          <w:iCs/>
        </w:rPr>
        <w:t xml:space="preserve">Chemistry of High-Energy Materials</w:t>
      </w:r>
      <w:r>
        <w:t xml:space="preserve">, 5th ed. (de Gruyter, 2019). doi:10.1515/9783110624571.</w:t>
      </w:r>
      <w:bookmarkEnd w:id="97"/>
    </w:p>
    <w:p>
      <w:pPr>
        <w:pStyle w:val="MDPI81references"/>
        <w:numPr>
          <w:ilvl w:val="0"/>
          <w:numId w:val="0"/>
        </w:numPr>
        <w:ind w:left="180" w:hanging="180"/>
      </w:pPr>
      <w:bookmarkStart w:id="9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8"/>
    </w:p>
    <w:p>
      <w:pPr>
        <w:pStyle w:val="MDPI81references"/>
        <w:numPr>
          <w:ilvl w:val="0"/>
          <w:numId w:val="0"/>
        </w:numPr>
        <w:ind w:left="180" w:hanging="180"/>
      </w:pPr>
      <w:bookmarkStart w:id="9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99"/>
    </w:p>
    <w:p>
      <w:pPr>
        <w:pStyle w:val="MDPI81references"/>
        <w:numPr>
          <w:ilvl w:val="0"/>
          <w:numId w:val="0"/>
        </w:numPr>
        <w:ind w:left="180" w:hanging="180"/>
      </w:pPr>
      <w:bookmarkStart w:id="10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0"/>
    </w:p>
    <w:p>
      <w:pPr>
        <w:pStyle w:val="MDPI81references"/>
        <w:numPr>
          <w:ilvl w:val="0"/>
          <w:numId w:val="0"/>
        </w:numPr>
        <w:ind w:left="180" w:hanging="180"/>
      </w:pPr>
      <w:bookmarkStart w:id="10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1"/>
    </w:p>
    <w:p>
      <w:pPr>
        <w:pStyle w:val="MDPI81references"/>
        <w:numPr>
          <w:ilvl w:val="0"/>
          <w:numId w:val="0"/>
        </w:numPr>
        <w:ind w:left="180" w:hanging="180"/>
      </w:pPr>
      <w:bookmarkStart w:id="10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2"/>
    </w:p>
    <w:p>
      <w:pPr>
        <w:pStyle w:val="MDPI81references"/>
        <w:numPr>
          <w:ilvl w:val="0"/>
          <w:numId w:val="0"/>
        </w:numPr>
        <w:ind w:left="180" w:hanging="180"/>
      </w:pPr>
      <w:bookmarkStart w:id="10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03"/>
    </w:p>
    <w:p>
      <w:pPr>
        <w:pStyle w:val="MDPI81references"/>
        <w:numPr>
          <w:ilvl w:val="0"/>
          <w:numId w:val="0"/>
        </w:numPr>
        <w:ind w:left="180" w:hanging="180"/>
      </w:pPr>
      <w:bookmarkStart w:id="10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04"/>
    </w:p>
    <w:p>
      <w:pPr>
        <w:pStyle w:val="MDPI81references"/>
        <w:numPr>
          <w:ilvl w:val="0"/>
          <w:numId w:val="0"/>
        </w:numPr>
        <w:ind w:left="180" w:hanging="180"/>
      </w:pPr>
      <w:bookmarkStart w:id="105" w:name="ref-reymond2015gdb"/>
      <w:r>
        <w:t xml:space="preserve">Reymond, J.-L. (2015). The chemical space project.</w:t>
      </w:r>
      <w:r>
        <w:t xml:space="preserve"> </w:t>
      </w:r>
      <w:r>
        <w:rPr>
          <w:i/>
          <w:iCs/>
        </w:rPr>
        <w:t xml:space="preserve">Acc. Chem. Res. 48(3)</w:t>
      </w:r>
      <w:r>
        <w:t xml:space="preserve">:722–730.</w:t>
      </w:r>
      <w:bookmarkEnd w:id="105"/>
    </w:p>
    <w:p>
      <w:pPr>
        <w:pStyle w:val="MDPI81references"/>
        <w:numPr>
          <w:ilvl w:val="0"/>
          <w:numId w:val="0"/>
        </w:numPr>
        <w:ind w:left="180" w:hanging="180"/>
      </w:pPr>
      <w:bookmarkStart w:id="10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106"/>
    </w:p>
    <w:p>
      <w:pPr>
        <w:pStyle w:val="MDPI81references"/>
        <w:numPr>
          <w:ilvl w:val="0"/>
          <w:numId w:val="0"/>
        </w:numPr>
        <w:ind w:left="180" w:hanging="180"/>
      </w:pPr>
      <w:bookmarkStart w:id="108" w:name="ref-cameo"/>
      <w:r>
        <w:t xml:space="preserve">NIST CAMEO Chemicals: Database of Hazardous Materials and Reactivity.</w:t>
      </w:r>
      <w:r>
        <w:t xml:space="preserve"> </w:t>
      </w:r>
      <w:hyperlink r:id="rId25">
        <w:r>
          <w:rPr>
            <w:rStyle w:val="Hyperlink"/>
          </w:rPr>
          <w:t xml:space="preserve">cameochemicals.noaa.gov</w:t>
        </w:r>
      </w:hyperlink>
      <w:r>
        <w:t xml:space="preserve">.</w:t>
      </w:r>
      <w:bookmarkEnd w:id="108"/>
    </w:p>
    <w:p>
      <w:pPr>
        <w:pStyle w:val="MDPI81references"/>
        <w:numPr>
          <w:ilvl w:val="0"/>
          <w:numId w:val="0"/>
        </w:numPr>
        <w:ind w:left="180" w:hanging="180"/>
      </w:pPr>
      <w:bookmarkStart w:id="10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09"/>
    </w:p>
    <w:p>
      <w:pPr>
        <w:pStyle w:val="MDPI81references"/>
        <w:numPr>
          <w:ilvl w:val="0"/>
          <w:numId w:val="0"/>
        </w:numPr>
        <w:ind w:left="180" w:hanging="180"/>
      </w:pPr>
      <w:bookmarkStart w:id="11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10"/>
    </w:p>
    <w:p>
      <w:pPr>
        <w:pStyle w:val="MDPI81references"/>
        <w:numPr>
          <w:ilvl w:val="0"/>
          <w:numId w:val="0"/>
        </w:numPr>
        <w:ind w:left="180" w:hanging="180"/>
      </w:pPr>
      <w:bookmarkStart w:id="11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11"/>
    </w:p>
    <w:p>
      <w:pPr>
        <w:pStyle w:val="MDPI81references"/>
        <w:numPr>
          <w:ilvl w:val="0"/>
          <w:numId w:val="0"/>
        </w:numPr>
        <w:ind w:left="180" w:hanging="180"/>
      </w:pPr>
      <w:bookmarkStart w:id="112" w:name="ref-bondi1964vdw"/>
      <w:r>
        <w:t xml:space="preserve">Bondi, A. (1964). van der Waals Volumes and Radii.</w:t>
      </w:r>
      <w:r>
        <w:t xml:space="preserve"> </w:t>
      </w:r>
      <w:r>
        <w:rPr>
          <w:i/>
          <w:iCs/>
        </w:rPr>
        <w:t xml:space="preserve">J. Phys. Chem. 68(3)</w:t>
      </w:r>
      <w:r>
        <w:t xml:space="preserve">:441–451. doi:10.1021/j100785a001.</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4"/>
    </w:p>
    <w:p>
      <w:pPr>
        <w:pStyle w:val="MDPI81references"/>
        <w:numPr>
          <w:ilvl w:val="0"/>
          <w:numId w:val="0"/>
        </w:numPr>
        <w:ind w:left="180" w:hanging="180"/>
      </w:pPr>
      <w:bookmarkStart w:id="11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15"/>
    </w:p>
    <w:p>
      <w:pPr>
        <w:pStyle w:val="MDPI81references"/>
        <w:numPr>
          <w:ilvl w:val="0"/>
          <w:numId w:val="0"/>
        </w:numPr>
        <w:ind w:left="180" w:hanging="180"/>
      </w:pPr>
      <w:bookmarkStart w:id="11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16"/>
    </w:p>
    <w:p>
      <w:pPr>
        <w:pStyle w:val="MDPI81references"/>
        <w:numPr>
          <w:ilvl w:val="0"/>
          <w:numId w:val="0"/>
        </w:numPr>
        <w:ind w:left="180" w:hanging="180"/>
      </w:pPr>
      <w:bookmarkStart w:id="117"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17"/>
    </w:p>
    <w:p>
      <w:pPr>
        <w:pStyle w:val="MDPI81references"/>
        <w:numPr>
          <w:ilvl w:val="0"/>
          <w:numId w:val="0"/>
        </w:numPr>
        <w:ind w:left="180" w:hanging="180"/>
      </w:pPr>
      <w:bookmarkStart w:id="11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18"/>
    </w:p>
    <w:p>
      <w:pPr>
        <w:pStyle w:val="MDPI81references"/>
        <w:numPr>
          <w:ilvl w:val="0"/>
          <w:numId w:val="0"/>
        </w:numPr>
        <w:ind w:left="180" w:hanging="180"/>
      </w:pPr>
      <w:bookmarkStart w:id="11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19"/>
    </w:p>
    <w:p>
      <w:pPr>
        <w:pStyle w:val="MDPI81references"/>
        <w:numPr>
          <w:ilvl w:val="0"/>
          <w:numId w:val="0"/>
        </w:numPr>
        <w:ind w:left="180" w:hanging="180"/>
      </w:pPr>
      <w:bookmarkStart w:id="12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www.daylight.com/dayhtml/doc/theory/theory.smarts.html" TargetMode="External"/><Relationship Id="rId24" Type="http://schemas.openxmlformats.org/officeDocument/2006/relationships/hyperlink" Target="https://www.rdkit.org" TargetMode="External"/><Relationship Id="rId25"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