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w:t>
      </w:r>
    </w:p>
    <w:bookmarkStart w:id="9" w:name="X8e383b3829c44eca95d8f4251a1abbb5f82baee"/>
    <w:p>
      <w:pPr>
        <w:pStyle w:val="Title"/>
        <w:spacing w:before="0" w:after="160"/>
        <w:jc w:val="center"/>
        <w:keepNext/>
        <w:keepLines/>
        <w:widowControl w:val="1"/>
      </w:pPr>
      <w:r>
        <w:t xml:space="preserve">Supplementary Information for: Domain-Gated Latent Diffusion: Generative Inverse Design of HMX-Class Energetic Materials with First-Principles Validation</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rPr>
        <w:t xml:space="preserve"> </w:t>
      </w:r>
      <w:r>
        <w:rPr>
          <w:rFonts w:ascii="Times New Roman" w:hAnsi="Times New Roman"/>
          <w:b w:val="0"/>
          <w:i/>
          <w:sz w:val="20"/>
          <w:vertAlign w:val="superscript"/>
        </w:rPr>
        <w:t xml:space="preserve">1,</w:t>
      </w:r>
      <w:r>
        <w:rPr>
          <w:rFonts w:ascii="Times New Roman" w:hAnsi="Times New Roman"/>
          <w:b w:val="0"/>
          <w:i/>
          <w:sz w:val="20"/>
        </w:rPr>
        <w:t xml:space="preserve">* and Alexander Apartsin</w:t>
      </w:r>
      <w:r>
        <w:rPr>
          <w:rFonts w:ascii="Times New Roman" w:hAnsi="Times New Roman"/>
          <w:b w:val="0"/>
          <w:i/>
          <w:sz w:val="20"/>
        </w:rPr>
        <w:t xml:space="preserve"> </w:t>
      </w:r>
      <w:r>
        <w:rPr>
          <w:rFonts w:ascii="Times New Roman" w:hAnsi="Times New Roman"/>
          <w:b w:val="0"/>
          <w:i/>
          <w:sz w:val="20"/>
          <w:vertAlign w:val="superscript"/>
        </w:rPr>
        <w:t xml:space="preserve">2</w:t>
      </w:r>
    </w:p>
    <w:p>
      <w:pPr>
        <w:pStyle w:val="BodyText"/>
        <w:jc w:val="both"/>
        <w:keepNext w:val="0"/>
        <w:keepLines w:val="0"/>
        <w:widowControl w:val="1"/>
      </w:pPr>
      <w:r>
        <w:rPr>
          <w:vertAlign w:val="superscript"/>
        </w:rPr>
        <w:t xml:space="preserve">1</w:t>
      </w:r>
      <w:r>
        <w:t xml:space="preserve"> </w:t>
      </w:r>
      <w:r>
        <w:t xml:space="preserve">Afeka Tel-Aviv College of Engineering, Tel-Aviv, Israel;</w:t>
      </w:r>
      <w:r>
        <w:t xml:space="preserve"> </w:t>
      </w:r>
      <w:r>
        <w:rPr>
          <w:vertAlign w:val="superscript"/>
        </w:rPr>
        <w:t xml:space="preserve">2</w:t>
      </w:r>
      <w:r>
        <w:t xml:space="preserve"> </w:t>
      </w:r>
      <w:r>
        <w:t xml:space="preserve">Holon Institute of Technology (HIT), Holon, Israel</w:t>
      </w:r>
    </w:p>
    <w:p>
      <w:pPr>
        <w:pStyle w:val="BodyText"/>
        <w:jc w:val="both"/>
        <w:keepNext w:val="0"/>
        <w:keepLines w:val="0"/>
        <w:widowControl w:val="1"/>
      </w:pPr>
      <w:r>
        <w:t xml:space="preserve">* Correspondence: apersteiny@afeka.ac.il</w:t>
      </w:r>
    </w:p>
    <w:bookmarkEnd w:id="9"/>
    <w:bookmarkStart w:id="46" w:name="supplementary-notes"/>
    <w:p>
      <w:pPr>
        <w:pStyle w:val="Heading2"/>
        <w:keepNext/>
        <w:keepLines/>
        <w:widowControl w:val="1"/>
      </w:pPr>
      <w:r>
        <w:t xml:space="preserve">Supplementary Notes</w:t>
      </w:r>
    </w:p>
    <w:bookmarkStart w:id="15" w:name="a.-dataset-details"/>
    <w:p>
      <w:pPr>
        <w:pStyle w:val="Heading3"/>
        <w:keepNext/>
        <w:keepLines/>
        <w:widowControl w:val="1"/>
      </w:pPr>
      <w:r>
        <w:t xml:space="preserve">A. Dataset details</w:t>
      </w:r>
    </w:p>
    <w:bookmarkStart w:id="10" w:name="a.1-data-sources-and-provenance"/>
    <w:p>
      <w:pPr>
        <w:pStyle w:val="Heading4"/>
        <w:keepNext/>
        <w:keepLines/>
        <w:widowControl w:val="1"/>
      </w:pPr>
      <w:r>
        <w:t xml:space="preserve">A.1 Data sources and provenance</w:t>
      </w:r>
    </w:p>
    <w:p>
      <w:pPr>
        <w:pStyle w:val="FirstParagraph"/>
        <w:jc w:val="both"/>
        <w:keepNext w:val="0"/>
        <w:keepLines w:val="0"/>
        <w:widowControl w:val="1"/>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ImageCaption"/>
        <w:spacing w:before="80" w:after="120" w:line="240" w:lineRule="auto"/>
        <w:jc w:val="center"/>
        <w:keepNext w:val="0"/>
        <w:keepLines/>
        <w:widowControl w:val="1"/>
      </w:pPr>
      <w:r>
        <w:rPr>
          <w:b/>
          <w:i/>
        </w:rPr>
        <w:t>Table S1.</w:t>
      </w:r>
      <w:r>
        <w:rPr>
          <w:b w:val="0"/>
          <w:i/>
        </w:rPr>
        <w:t xml:space="preserve"> </w:t>
      </w:r>
      <w:r>
        <w:rPr>
          <w:b w:val="0"/>
          <w:i/>
        </w:rPr>
        <w:t>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S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[4]</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Uni-Mol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Gaming molecules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Section 4.11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w:t>
            </w:r>
            <w:r>
              <w:rPr>
                <w:rFonts w:ascii="Times New Roman" w:hAnsi="Times New Roman"/>
                <w:sz w:val="19"/>
              </w:rPr>
              <w:t xml:space="preserve"> </w:t>
            </w:r>
            <w:hyperlink w:anchor="ref-cameo">
              <w:r>
                <w:rPr>
                  <w:rStyle w:val="Hyperlink"/>
                </w:rPr>
                <w:t xml:space="preserve">[7]</w:t>
              </w:r>
            </w:hyperlink>
            <w:r>
              <w:rPr>
                <w:rFonts w:ascii="Times New Roman" w:hAnsi="Times New Roman"/>
                <w:sz w:val="19"/>
              </w:rPr>
              <w:t xml:space="preserve"> </w:t>
            </w:r>
            <w:r>
              <w:rPr>
                <w:rFonts w:ascii="Times New Roman" w:hAnsi="Times New Roman"/>
                <w:sz w:val="19"/>
              </w:rPr>
              <w:t xml:space="preserve">+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[7]</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[8]</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[10]</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[11]</w:t>
              </w:r>
            </w:hyperlink>
          </w:p>
        </w:tc>
      </w:tr>
    </w:tbl>
    <w:p>
      <w:pPr>
        <w:pStyle w:val="BodyText"/>
        <w:spacing w:before="240"/>
        <w:jc w:val="both"/>
        <w:keepNext w:val="0"/>
        <w:keepLines w:val="0"/>
        <w:widowControl w:val="1"/>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BodyText"/>
        <w:jc w:val="both"/>
        <w:keepNext w:val="0"/>
        <w:keepLines w:val="0"/>
        <w:widowControl w:val="1"/>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an expected sanity-check rediscovery.</w:t>
      </w:r>
    </w:p>
    <w:bookmarkEnd w:id="10"/>
    <w:bookmarkStart w:id="14" w:name="a.2-data-preprocessing-details"/>
    <w:p>
      <w:pPr>
        <w:pStyle w:val="Heading4"/>
        <w:keepNext/>
        <w:keepLines/>
        <w:widowControl w:val="1"/>
      </w:pPr>
      <w:r>
        <w:t xml:space="preserve">A.2 Data preprocessing details</w:t>
      </w:r>
    </w:p>
    <w:p>
      <w:pPr>
        <w:pStyle w:val="FirstParagraph"/>
        <w:jc w:val="both"/>
        <w:keepNext w:val="0"/>
        <w:keepLines w:val="0"/>
        <w:widowControl w:val="1"/>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S1.</w:t>
      </w:r>
      <w:r>
        <w:rPr>
          <w:b w:val="0"/>
          <w:i/>
        </w:rPr>
        <w:t xml:space="preserve"> </w:t>
      </w:r>
      <w:r>
        <w:rPr>
          <w:b w:val="0"/>
          <w:i/>
        </w:rPr>
        <w:t>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Heading3"/>
        <w:keepNext/>
        <w:keepLines/>
        <w:widowControl w:val="1"/>
      </w:pPr>
      <w:r>
        <w:t xml:space="preserve">B. Model architecture and hyperparameter values</w:t>
      </w:r>
    </w:p>
    <w:p>
      <w:pPr>
        <w:pStyle w:val="FirstParagraph"/>
        <w:jc w:val="both"/>
        <w:keepNext w:val="0"/>
        <w:keepLines w:val="0"/>
        <w:widowControl w:val="1"/>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(Supplementary Figs S17 and S19)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BodyText"/>
        <w:jc w:val="both"/>
        <w:keepNext w:val="0"/>
        <w:keepLines w:val="0"/>
        <w:widowControl w:val="1"/>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ImageCaption"/>
        <w:spacing w:before="80" w:after="120" w:line="240" w:lineRule="auto"/>
        <w:jc w:val="center"/>
        <w:keepNext w:val="0"/>
        <w:keepLines/>
        <w:widowControl w:val="1"/>
      </w:pPr>
      <w:r>
        <w:rPr>
          <w:b/>
          <w:i/>
        </w:rPr>
        <w:t>Table S2.</w:t>
      </w:r>
      <w:r>
        <w:rPr>
          <w:b w:val="0"/>
          <w:i/>
        </w:rPr>
        <w:t xml:space="preserve"> </w:t>
      </w:r>
      <w:r>
        <w:rPr>
          <w:b w:val="0"/>
          <w:i/>
        </w:rPr>
        <w:t>LIMO SELFIES-VAE hyperparameters. Source of truth for all LIMO-related numeric values referenced in the Materials and Methods (Section 4).</w:t>
      </w:r>
    </w:p>
    <w:tbl>
      <w:tblPr>
        <w:tblStyle w:val="Table"/>
        <w:tblW w:type="pct" w:w="5000"/>
        <w:jc w:val="center"/>
        <w:tblLook w:firstRow="1" w:lastRow="0" w:firstColumn="0" w:lastColumn="0" w:noHBand="0" w:noVBand="0" w:val="0020"/>
        <w:tblCaption w:val="Table S2. LIMO SELFIES-VAE hyperparameters. Source of truth for all LIMO-related numeric values referenced in the Materials and Methods (Section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ImageCaption"/>
        <w:spacing w:before="80" w:after="120" w:line="240" w:lineRule="auto"/>
        <w:jc w:val="center"/>
        <w:keepNext w:val="0"/>
        <w:keepLines/>
        <w:widowControl w:val="1"/>
      </w:pPr>
      <w:r>
        <w:rPr>
          <w:b/>
          <w:i/>
        </w:rPr>
        <w:t>Table S3.</w:t>
      </w:r>
      <w:r>
        <w:rPr>
          <w:b w:val="0"/>
          <w:i/>
        </w:rPr>
        <w:t xml:space="preserve"> </w:t>
      </w:r>
      <w:r>
        <w:rPr>
          <w:b w:val="0"/>
          <w:i/>
        </w:rPr>
        <w:t>Denoiser and multi-task score-model hyperparameters. Source of truth for all denoiser and score-model numeric values referenced in the Materials and Methods (Section 4).</w:t>
      </w:r>
    </w:p>
    <w:tbl>
      <w:tblPr>
        <w:tblStyle w:val="Table"/>
        <w:tblW w:type="pct" w:w="5000"/>
        <w:jc w:val="center"/>
        <w:tblLook w:firstRow="1" w:lastRow="0" w:firstColumn="0" w:lastColumn="0" w:noHBand="0" w:noVBand="0" w:val="0020"/>
        <w:tblCaption w:val="Table S3. Denoiser and multi-task score-model hyperparameters. Source of truth for all denoiser and score-model numeric values referenced in the Materials and Methods (Section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Section 4.2)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Section 4.10)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(Section 4.10)</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ImageCaption"/>
        <w:spacing w:before="80" w:after="120" w:line="240" w:lineRule="auto"/>
        <w:jc w:val="center"/>
        <w:keepNext w:val="0"/>
        <w:keepLines/>
        <w:widowControl w:val="1"/>
      </w:pPr>
      <w:r>
        <w:rPr>
          <w:b/>
          <w:i/>
        </w:rPr>
        <w:t>Table S4.</w:t>
      </w:r>
      <w:r>
        <w:rPr>
          <w:b w:val="0"/>
          <w:i/>
        </w:rPr>
        <w:t xml:space="preserve"> </w:t>
      </w:r>
      <w:r>
        <w:rPr>
          <w:b w:val="0"/>
          <w:i/>
        </w:rPr>
        <w:t>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S4.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~2069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ZINC-15 random negatives + mined hard negatives (Supplementary Section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2-model scaffold-split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BodyText"/>
        <w:spacing w:before="240"/>
        <w:jc w:val="both"/>
        <w:keepNext w:val="0"/>
        <w:keepLines w:val="0"/>
        <w:widowControl w:val="1"/>
      </w:pPr>
      <w:r>
        <w:rPr>
          <w:b/>
          <w:bCs/>
        </w:rPr>
        <w:t xml:space="preserve">B.1 Hard-negative augmentation (self-distillation).</w:t>
      </w:r>
    </w:p>
    <w:p>
      <w:pPr>
        <w:pStyle w:val="BodyText"/>
        <w:jc w:val="both"/>
        <w:keepNext w:val="0"/>
        <w:keepLines w:val="0"/>
        <w:widowControl w:val="1"/>
      </w:pPr>
      <w:r>
        <w:rPr>
          <w:i/>
          <w:iCs/>
        </w:rPr>
        <w:t xml:space="preserve">Why it is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4.9).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4.11 and not repeated here. The held-out probe (7 anchors: RDX, HMX, TNT, FOX-7, PETN, TATB, NTO; 5 gaming molecules: gem-tetranitro on C2, trinitromethane, gem-dinitrocyclopropane, polyazene-NO</w:t>
      </w:r>
      <w:r>
        <w:rPr>
          <w:vertAlign w:val="subscript"/>
        </w:rPr>
        <w:t xml:space="preserve">2</w:t>
      </w:r>
      <w:r>
        <w:t xml:space="preserve"> </w:t>
      </w:r>
      <w:r>
        <w:t xml:space="preserve">chain, dinitromethane) confirms anchors hold at 0.86–0.99 while gaming molecules are demoted to 0.12–0.84. Supplementary Section D.9 reports an early variant (137 gaming molecules) versus the production variant (918 gaming molecules).</w:t>
      </w:r>
    </w:p>
    <w:p>
      <w:pPr>
        <w:pStyle w:val="BodyText"/>
        <w:jc w:val="both"/>
        <w:keepNext w:val="0"/>
        <w:keepLines w:val="0"/>
        <w:widowControl w:val="1"/>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4.10). The score model after round 2 (corpus + 918 hard negatives) is the production checkpoint used in Section 2.</w:t>
      </w:r>
    </w:p>
    <w:p>
      <w:pPr>
        <w:pStyle w:val="BodyText"/>
        <w:jc w:val="both"/>
        <w:keepNext w:val="0"/>
        <w:keepLines w:val="0"/>
        <w:widowControl w:val="1"/>
      </w:pPr>
      <w:r>
        <w:rPr>
          <w:b/>
          <w:bCs/>
        </w:rPr>
        <w:t xml:space="preserve">Procedure summary.</w:t>
      </w:r>
      <w:r>
        <w:t xml:space="preserve"> </w:t>
      </w:r>
      <w:r>
        <w:t xml:space="preserve">The protocol of Fig 19 in five steps, repeated for at most three rounds:</w:t>
      </w:r>
    </w:p>
    <w:p>
      <w:pPr>
        <w:pStyle w:val="Compact"/>
        <w:numPr>
          <w:ilvl w:val="0"/>
          <w:numId w:val="1001"/>
        </w:numPr>
        <w:ind w:left="360" w:hanging="259"/>
        <w:jc w:val="both"/>
        <w:keepNext w:val="0"/>
        <w:keepLines w:val="0"/>
        <w:widowControl w:val="1"/>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numPr>
          <w:ilvl w:val="0"/>
          <w:numId w:val="1001"/>
        </w:numPr>
        <w:ind w:left="360" w:hanging="259"/>
        <w:jc w:val="both"/>
        <w:keepNext w:val="0"/>
        <w:keepLines w:val="0"/>
        <w:widowControl w:val="1"/>
      </w:pPr>
      <w:r>
        <w:rPr>
          <w:b/>
          <w:bCs/>
        </w:rPr>
        <w:t xml:space="preserve">Probe</w:t>
      </w:r>
      <w:r>
        <w:t xml:space="preserve"> </w:t>
      </w:r>
      <w:r>
        <w:t xml:space="preserve">on a held-out probe of 7 anchors and 5 gaming molecules; if all anchors score</w:t>
      </w:r>
      <w:r>
        <w:t xml:space="preserve"> </w:t>
      </w:r>
      <m:oMath>
        <m:r>
          <m:rPr>
            <m:sty m:val="p"/>
          </m:rPr>
          <m:t>≥</m:t>
        </m:r>
      </m:oMath>
      <w:r>
        <w:t xml:space="preserve"> </w:t>
      </w:r>
      <w:r>
        <w:t xml:space="preserve">0.86 and all gaming molecules score</w:t>
      </w:r>
      <w:r>
        <w:t xml:space="preserve"> </w:t>
      </w:r>
      <m:oMath>
        <m:r>
          <m:rPr>
            <m:sty m:val="p"/>
          </m:rPr>
          <m:t>≤</m:t>
        </m:r>
      </m:oMath>
      <w:r>
        <w:t xml:space="preserve"> </w:t>
      </w:r>
      <w:r>
        <w:t xml:space="preserve">0.84, stop.</w:t>
      </w:r>
    </w:p>
    <w:p>
      <w:pPr>
        <w:pStyle w:val="Compact"/>
        <w:numPr>
          <w:ilvl w:val="0"/>
          <w:numId w:val="1001"/>
        </w:numPr>
        <w:ind w:left="360" w:hanging="259"/>
        <w:jc w:val="both"/>
        <w:keepNext w:val="0"/>
        <w:keepLines w:val="0"/>
        <w:widowControl w:val="1"/>
      </w:pPr>
      <w:r>
        <w:rPr>
          <w:b/>
          <w:bCs/>
        </w:rPr>
        <w:t xml:space="preserve">Sample</w:t>
      </w:r>
      <w:r>
        <w:t xml:space="preserve"> </w:t>
      </w:r>
      <w:r>
        <w:t xml:space="preserve">a candidate pool from the diffusion model using the current score-model's guidance.</w:t>
      </w:r>
    </w:p>
    <w:p>
      <w:pPr>
        <w:pStyle w:val="Compact"/>
        <w:numPr>
          <w:ilvl w:val="0"/>
          <w:numId w:val="1001"/>
        </w:numPr>
        <w:ind w:left="360" w:hanging="259"/>
        <w:jc w:val="both"/>
        <w:keepNext w:val="0"/>
        <w:keepLines w:val="0"/>
        <w:widowControl w:val="1"/>
      </w:pPr>
      <w:r>
        <w:rPr>
          <w:b/>
          <w:bCs/>
        </w:rPr>
        <w:t xml:space="preserve">Mine</w:t>
      </w:r>
      <w:r>
        <w:t xml:space="preserve"> </w:t>
      </w:r>
      <w:r>
        <w:t xml:space="preserve">false positives: high predicted viability but rejected by the chem-curated SMARTS gate.</w:t>
      </w:r>
    </w:p>
    <w:p>
      <w:pPr>
        <w:pStyle w:val="Compact"/>
        <w:numPr>
          <w:ilvl w:val="0"/>
          <w:numId w:val="1001"/>
        </w:numPr>
        <w:ind w:left="360" w:hanging="259"/>
        <w:jc w:val="both"/>
        <w:keepNext w:val="0"/>
        <w:keepLines w:val="0"/>
        <w:widowControl w:val="1"/>
      </w:pPr>
      <w:r>
        <w:rPr>
          <w:b/>
          <w:bCs/>
        </w:rPr>
        <w:t xml:space="preserve">Encode</w:t>
      </w:r>
      <w:r>
        <w:t xml:space="preserve"> </w:t>
      </w:r>
      <w:r>
        <w:t xml:space="preserve">the mined gaming molecules through the frozen LIMO encoder, label them viab</w:t>
      </w:r>
      <m:oMath>
        <m:r>
          <m:rPr>
            <m:sty m:val="p"/>
          </m:rPr>
          <m:t>=</m:t>
        </m:r>
      </m:oMath>
      <w:r>
        <w:t xml:space="preserve">0, and add them to the cumulative hard-negative set for the next round.</w:t>
      </w:r>
    </w:p>
    <w:p>
      <w:pPr>
        <w:pStyle w:val="FirstParagraph"/>
        <w:jc w:val="both"/>
        <w:keepNext w:val="0"/>
        <w:keepLines w:val="0"/>
        <w:widowControl w:val="1"/>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BodyText"/>
        <w:jc w:val="both"/>
        <w:keepNext w:val="0"/>
        <w:keepLines w:val="0"/>
        <w:widowControl w:val="1"/>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see the Data Availability statement)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BodyText"/>
        <w:jc w:val="both"/>
        <w:keepNext w:val="0"/>
        <w:keepLines w:val="0"/>
        <w:widowControl w:val="1"/>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A literature-grounded sensitivity head grounds the steering signal in measured</w:t>
      </w:r>
      <w:r>
        <w:t xml:space="preserve"> </w:t>
      </w:r>
      <m:oMath>
        <m:sSub>
          <m:e>
            <m:r>
              <m:t>h</m:t>
            </m:r>
          </m:e>
          <m:sub>
            <m:r>
              <m:t>50</m:t>
            </m:r>
          </m:sub>
        </m:sSub>
      </m:oMath>
      <w:r>
        <w:t xml:space="preserve"> </w:t>
      </w:r>
      <w:r>
        <w:t xml:space="preserve">data rather than in the heuristic alone: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BodyText"/>
        <w:jc w:val="both"/>
        <w:keepNext w:val="0"/>
        <w:keepLines w:val="0"/>
        <w:widowControl w:val="1"/>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BodyText"/>
        <w:jc w:val="both"/>
        <w:keepNext w:val="0"/>
        <w:keepLines w:val="0"/>
        <w:widowControl w:val="1"/>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BodyText"/>
        <w:jc w:val="both"/>
        <w:keepNext w:val="0"/>
        <w:keepLines w:val="0"/>
        <w:widowControl w:val="1"/>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BodyText"/>
        <w:jc w:val="both"/>
        <w:keepNext w:val="0"/>
        <w:keepLines w:val="0"/>
        <w:widowControl w:val="1"/>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anchor/gaming-molecule probe (the six-head production model and its five-head predecessor score the same on the anchor and gaming-molecule test sets within the per-round monitoring tolerance of Supplementary Section B.1). Both heads therefore act as multi-task trunk regularisers: each contributes</w:t>
      </w:r>
      <w:r>
        <w:t xml:space="preserve"> </w:t>
      </w:r>
      <m:oMath>
        <m:r>
          <m:rPr>
            <m:sty m:val="p"/>
          </m:rPr>
          <m:t>∼</m:t>
        </m:r>
      </m:oMath>
      <w:r>
        <w:t xml:space="preserve">2 × 256k parameters of supervised signal during training while the sample-time steering bus invokes only the three domain-native heads.</w:t>
      </w:r>
    </w:p>
    <w:p>
      <w:pPr>
        <w:pStyle w:val="BodyText"/>
        <w:jc w:val="both"/>
        <w:keepNext w:val="0"/>
        <w:keepLines w:val="0"/>
        <w:widowControl w:val="1"/>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bookmarkStart w:id="17" w:name="b.5-production-recipe-table-s5"/>
    <w:p>
      <w:pPr>
        <w:pStyle w:val="Heading4"/>
        <w:keepNext/>
        <w:keepLines/>
        <w:widowControl w:val="1"/>
      </w:pPr>
      <w:r>
        <w:t xml:space="preserve">B.5 Production recipe (Table S5)</w:t>
      </w:r>
    </w:p>
    <w:p>
      <w:pPr>
        <w:pStyle w:val="FirstParagraph"/>
        <w:jc w:val="both"/>
        <w:keepNext w:val="0"/>
        <w:keepLines w:val="0"/>
        <w:widowControl w:val="1"/>
      </w:pPr>
      <w:r>
        <w:t xml:space="preserve">Complete configuration used throughout Section 2.2–Section 2.5. Each knob traces to the Section 2.6 ablation (or Section 4.15 hyperparameter sweep) that selected it.</w:t>
      </w:r>
    </w:p>
    <w:bookmarkStart w:id="16" w:name="table-c5"/>
    <w:p>
      <w:pPr>
        <w:pStyle w:val="ImageCaption"/>
        <w:spacing w:before="80" w:after="120" w:line="240" w:lineRule="auto"/>
        <w:jc w:val="center"/>
        <w:keepNext w:val="0"/>
        <w:keepLines/>
        <w:widowControl w:val="1"/>
      </w:pPr>
      <w:r>
        <w:rPr>
          <w:b/>
          <w:i/>
        </w:rPr>
        <w:t>Table S5.</w:t>
      </w:r>
      <w:r>
        <w:rPr>
          <w:b w:val="0"/>
          <w:i/>
        </w:rPr>
        <w:t xml:space="preserve"> </w:t>
      </w:r>
      <w:r>
        <w:rPr>
          <w:b w:val="0"/>
          <w:i/>
        </w:rPr>
        <w:t>Production recipe for the Section 2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S5. Production recipe for the Section 2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Supplementary Section 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4.8; Supplementary Section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4.15, Fig 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Supplementary Section F.5; Section 4.15, Fig 24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4.10; Supplementary Section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Supplementary Section F.3, Supplementary Section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Supplementary Section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4.12; Supplementary Section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4.13;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4.13; Supplementary Section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2.3; Supplementary Section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2.3; Supplementary Section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Uni-Mol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4.13</w:t>
            </w:r>
          </w:p>
        </w:tc>
      </w:tr>
    </w:tbl>
    <w:bookmarkEnd w:id="16"/>
    <w:bookmarkEnd w:id="17"/>
    <w:bookmarkEnd w:id="18"/>
    <w:bookmarkStart w:id="20" w:name="X7e317108d30eb1339186cc7c3dfc8e61aec6ead"/>
    <w:p>
      <w:pPr>
        <w:pStyle w:val="Heading3"/>
        <w:keepNext/>
        <w:keepLines/>
        <w:widowControl w:val="1"/>
      </w:pPr>
      <w:r>
        <w:t xml:space="preserve">C. First-principles audit (DFT) methodology and uncertainty bounds</w:t>
      </w:r>
    </w:p>
    <w:p>
      <w:pPr>
        <w:pStyle w:val="FirstParagraph"/>
        <w:jc w:val="both"/>
        <w:keepNext w:val="0"/>
        <w:keepLines w:val="0"/>
        <w:widowControl w:val="1"/>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BodyText"/>
        <w:jc w:val="both"/>
        <w:keepNext w:val="0"/>
        <w:keepLines w:val="0"/>
        <w:widowControl w:val="1"/>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and are outside the gpu4pyscf release used here; residual basis-set incompleteness is absorbed by the 6-anchor calibration (C.4). The basis def2-TZVP is the standard balanced triple-zeta with polarisation; basis-set extrapolation to def2-QZVPP would reduce the residual basis-set incompleteness error by a further</w:t>
      </w:r>
      <w:r>
        <w:t xml:space="preserve"> </w:t>
      </w:r>
      <m:oMath>
        <m:r>
          <m:rPr>
            <m:sty m:val="p"/>
          </m:rPr>
          <m:t>∼</m:t>
        </m:r>
      </m:oMath>
      <w:r>
        <w:t xml:space="preserve">50 % at twice the compute cost; the calibration absorbs this term at the production setting.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BodyText"/>
        <w:jc w:val="both"/>
        <w:keepNext w:val="0"/>
        <w:keepLines w:val="0"/>
        <w:widowControl w:val="1"/>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BodyText"/>
        <w:jc w:val="both"/>
        <w:keepNext w:val="0"/>
        <w:keepLines w:val="0"/>
        <w:widowControl w:val="1"/>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BodyText"/>
        <w:jc w:val="both"/>
        <w:keepNext w:val="0"/>
        <w:keepLines w:val="0"/>
        <w:widowControl w:val="1"/>
      </w:pPr>
      <w:r>
        <w:rPr>
          <w:b/>
          <w:bCs/>
        </w:rPr>
        <w:t xml:space="preserve">C.4 6-anchor calibration (provenance and robustness).</w:t>
      </w:r>
      <w:r>
        <w:t xml:space="preserve"> </w:t>
      </w:r>
      <w:r>
        <w:t xml:space="preserve">The calibration equation and leave-one-out residuals are stated in main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six-anchor panel spans the nitramine, nitroaromatic, nitrate-ester and nitro-azole classes, giving a determined two-parameter density fit.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BodyText"/>
        <w:jc w:val="both"/>
        <w:keepNext w:val="0"/>
        <w:keepLines w:val="0"/>
        <w:widowControl w:val="1"/>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ImageCaption"/>
        <w:spacing w:before="80" w:after="120" w:line="240" w:lineRule="auto"/>
        <w:jc w:val="center"/>
        <w:keepNext w:val="0"/>
        <w:keepLines/>
        <w:widowControl w:val="1"/>
      </w:pPr>
      <w:r>
        <w:rPr>
          <w:b/>
          <w:i/>
        </w:rPr>
        <w:t>Table S6.</w:t>
      </w:r>
      <w:r>
        <w:rPr>
          <w:b w:val="0"/>
          <w:i/>
        </w:rPr>
        <w:t xml:space="preserve"> </w:t>
      </w:r>
      <w:r>
        <w:rPr>
          <w:b w:val="0"/>
          <w:i/>
        </w:rPr>
        <w:t>Per-lead B3LYP/6-31G(d) optimisation + ωB97X-D3BJ/def2-TZVP single-point structural validation for the 11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S7.</w:t>
      </w:r>
    </w:p>
    <w:tbl>
      <w:tblPr>
        <w:tblStyle w:val="Table"/>
        <w:tblW w:type="pct" w:w="5000"/>
        <w:jc w:val="center"/>
        <w:tblLook w:firstRow="1" w:lastRow="0" w:firstColumn="0" w:lastColumn="0" w:noHBand="0" w:noVBand="0" w:val="0020"/>
        <w:tblCaption w:val="Table S6. Per-lead B3LYP/6-31G(d) optimisation + ωB97X-D3BJ/def2-TZVP single-point structural validation for the 11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S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 mol</w:t>
            </w:r>
            <w:r>
              <w:rPr>
                <w:rFonts w:ascii="Times New Roman" w:hAnsi="Times New Roman"/>
                <w:b/>
                <w:sz w:val="19"/>
                <w:vertAlign w:val="superscript"/>
              </w:rPr>
              <w:t xml:space="preserve">−1</w:t>
            </w:r>
            <w:r>
              <w:rPr>
                <w:rFonts w:ascii="Times New Roman" w:hAnsi="Times New Roman"/>
                <w:b/>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BodyText"/>
        <w:spacing w:before="240"/>
        <w:jc w:val="both"/>
        <w:keepNext w:val="0"/>
        <w:keepLines w:val="0"/>
        <w:widowControl w:val="1"/>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BodyText"/>
        <w:jc w:val="both"/>
        <w:keepNext w:val="0"/>
        <w:keepLines w:val="0"/>
        <w:widowControl w:val="1"/>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ImageCaption"/>
        <w:spacing w:before="80" w:after="120" w:line="240" w:lineRule="auto"/>
        <w:jc w:val="center"/>
        <w:keepNext w:val="0"/>
        <w:keepLines/>
        <w:widowControl w:val="1"/>
      </w:pPr>
      <w:r>
        <w:rPr>
          <w:b/>
          <w:i/>
        </w:rPr>
        <w:t>Table S7.</w:t>
      </w:r>
      <w:r>
        <w:rPr>
          <w:b w:val="0"/>
          <w:i/>
        </w:rPr>
        <w:t xml:space="preserve"> </w:t>
      </w:r>
      <w:r>
        <w:rPr>
          <w:b w:val="0"/>
          <w:i/>
        </w:rPr>
        <w:t>DFT-derived properties for the 11 chem-pass leads and the two RDX/TATB anchors under the 6-anchor calibration. ρcal = 1.392·ρDFT − 0.415; HOFcal = HOFDFT − 206.7 kJ mol−1 (6-anchor RDX/TATB/HMX/PETN/FOX-7/NTO fit; LOO RMS ±0.078 g cm−3 on ρ and ±64.6 kJ mol−1 on HOF). h50,model from the h50 score-model head (Huang and Massa [12]); h50,BDE via Politzer–Murray 2014 chemotype-class linear fit h50=1.93·BDE−52.4 (BDE class typicals: Ar–NO2 70, R2N–NO2 47, R-CH-NO2 55, R-O-NO2 40 kcal mol−1). Anchor sanity check: RDX h50,model=26.3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S7. DFT-derived properties for the 11 chem-pass leads and the two RDX/TATB anchors under the 6-anchor calibration. ρcal = 1.392·ρDFT − 0.415; HOFcal = HOFDFT − 206.7 kJ mol−1 (6-anchor RDX/TATB/HMX/PETN/FOX-7/NTO fit; LOO RMS ±0.078 g cm−3 on ρ and ±64.6 kJ mol−1 on HOF). h50,model from the h50 score-model head (Huang and Massa [12]); h50,BDE via Politzer–Murray 2014 chemotype-class linear fit h50=1.93·BDE−52.4 (BDE class typicals: Ar–NO2 70, R2N–NO2 47, R-CH-NO2 55, R-O-NO2 40 kcal mol−1).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 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 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 mol</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 mol</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BodyText"/>
        <w:spacing w:before="240"/>
        <w:jc w:val="both"/>
        <w:keepNext w:val="0"/>
        <w:keepLines w:val="0"/>
        <w:widowControl w:val="1"/>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The two independent routes bracket L1 at 30–83 cm, both above the primary-explosive band; experimental drop-weight testing places it within that bracket.</w:t>
      </w:r>
    </w:p>
    <w:p>
      <w:pPr>
        <w:pStyle w:val="BodyText"/>
        <w:jc w:val="both"/>
        <w:keepNext w:val="0"/>
        <w:keepLines w:val="0"/>
        <w:widowControl w:val="1"/>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is a reference-class compound flagged by the strengthened SMARTS gate, not a chem-pass lead:</w:t>
      </w:r>
    </w:p>
    <w:p>
      <w:pPr>
        <w:pStyle w:val="ImageCaption"/>
        <w:spacing w:before="80" w:after="120" w:line="240" w:lineRule="auto"/>
        <w:jc w:val="center"/>
        <w:keepNext w:val="0"/>
        <w:keepLines/>
        <w:widowControl w:val="1"/>
      </w:pPr>
      <w:r>
        <w:rPr>
          <w:b/>
          <w:i/>
        </w:rPr>
        <w:t>Table S8.</w:t>
      </w:r>
      <w:r>
        <w:rPr>
          <w:b w:val="0"/>
          <w:i/>
        </w:rPr>
        <w:t xml:space="preserve"> </w:t>
      </w:r>
      <w:r>
        <w:rPr>
          <w:b w:val="0"/>
          <w:i/>
        </w:rPr>
        <w:t>Reference-class (chem-rejected) scaffolds optimised with the same B3LYP/6-31G(d) + ωB97X-D3BJ/def2-TZVP protocol. R2 is an N-nitroimine, R3 a polyazene chain, R14 an azo-amino-nitrate. DFT-derived properties for these compounds are in Table S9.</w:t>
      </w:r>
    </w:p>
    <w:tbl>
      <w:tblPr>
        <w:tblStyle w:val="Table"/>
        <w:tblW w:type="pct" w:w="5000"/>
        <w:jc w:val="center"/>
        <w:tblLook w:firstRow="1" w:lastRow="0" w:firstColumn="0" w:lastColumn="0" w:noHBand="0" w:noVBand="0" w:val="0020"/>
        <w:tblCaption w:val="Table S8. Reference-class (chem-rejected) scaffolds optimised with the same B3LYP/6-31G(d) + ωB97X-D3BJ/def2-TZVP protocol. R2 is an N-nitroimine, R3 a polyazene chain, R14 an azo-amino-nitrate. DFT-derived properties for these compounds are in Table S9."/>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 mol</w:t>
            </w:r>
            <w:r>
              <w:rPr>
                <w:rFonts w:ascii="Times New Roman" w:hAnsi="Times New Roman"/>
                <w:b/>
                <w:sz w:val="19"/>
                <w:vertAlign w:val="superscript"/>
              </w:rPr>
              <w:t xml:space="preserve">−1</w:t>
            </w:r>
            <w:r>
              <w:rPr>
                <w:rFonts w:ascii="Times New Roman" w:hAnsi="Times New Roman"/>
                <w:b/>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ImageCaption"/>
        <w:spacing w:before="80" w:after="120" w:line="240" w:lineRule="auto"/>
        <w:jc w:val="center"/>
        <w:keepNext w:val="0"/>
        <w:keepLines/>
        <w:widowControl w:val="1"/>
      </w:pPr>
      <w:r>
        <w:rPr>
          <w:b/>
          <w:i/>
        </w:rPr>
        <w:t>Table S9.</w:t>
      </w:r>
      <w:r>
        <w:rPr>
          <w:b w:val="0"/>
          <w:i/>
        </w:rPr>
        <w:t xml:space="preserve"> </w:t>
      </w:r>
      <w:r>
        <w:rPr>
          <w:b w:val="0"/>
          <w:i/>
        </w:rPr>
        <w:t>DFT-derived properties for the three reference-class scaffolds. Calibration as Table S7. h50 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S9. DFT-derived properties for the three reference-class scaffolds. Calibration as Table S7.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 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 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 mol</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 mol</w:t>
            </w:r>
            <w:r>
              <w:rPr>
                <w:rFonts w:ascii="Times New Roman" w:hAnsi="Times New Roman"/>
                <w:b/>
                <w:sz w:val="19"/>
                <w:vertAlign w:val="superscript"/>
              </w:rPr>
              <w:t xml:space="preserve">−1</w:t>
            </w:r>
            <w:r>
              <w:rPr>
                <w:rFonts w:ascii="Times New Roman" w:hAnsi="Times New Roman"/>
                <w:b/>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BodyText"/>
        <w:spacing w:before="240"/>
        <w:jc w:val="both"/>
        <w:keepNext w:val="0"/>
        <w:keepLines w:val="0"/>
        <w:widowControl w:val="1"/>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ImageCaption"/>
        <w:spacing w:before="80" w:after="120" w:line="240" w:lineRule="auto"/>
        <w:jc w:val="center"/>
        <w:keepNext w:val="0"/>
        <w:keepLines/>
        <w:widowControl w:val="1"/>
      </w:pPr>
      <m:oMath>
        <m:r>
          <m:t>ρ</m:t>
        </m:r>
      </m:oMath>
      <m:oMath>
        <m:sSub>
          <m:e>
            <m:r>
              <m:t>​</m:t>
            </m:r>
          </m:e>
          <m:sub>
            <m:r>
              <m:rPr>
                <m:nor/>
                <m:sty m:val="p"/>
              </m:rPr>
              <m:t>cal</m:t>
            </m:r>
          </m:sub>
        </m:sSub>
      </m:oMath>
      <m:oMath>
        <m:r>
          <m:t>D</m:t>
        </m:r>
      </m:oMath>
      <m:oMath>
        <m:r>
          <m:t>D</m:t>
        </m:r>
      </m:oMath>
      <m:oMath>
        <m:sSub>
          <m:e>
            <m:r>
              <m:t>​</m:t>
            </m:r>
          </m:e>
          <m:sub>
            <m:r>
              <m:rPr>
                <m:nor/>
                <m:sty m:val="p"/>
              </m:rPr>
              <m:t>cal</m:t>
            </m:r>
          </m:sub>
        </m:sSub>
      </m:oMath>
      <w:r>
        <w:rPr>
          <w:b/>
          <w:i/>
        </w:rPr>
        <w:t>Table S10.</w:t>
      </w:r>
      <w:r>
        <w:rPr>
          <w:b w:val="0"/>
          <w:i/>
        </w:rPr>
        <w:t xml:space="preserve"> </w:t>
      </w:r>
      <w:r>
        <w:rPr>
          <w:b w:val="0"/>
          <w:i/>
        </w:rPr>
        <w:t>Kamlet–Jacobs detonation velocity and pressure recomputed from the 6-anchor-calibrated DFT  and HOF (per kj_6anchor_recompute.json), compared to the Uni-Mol surrogate prediction. The raw-DFT K-J values are listed in the third column for transparency. Residual is K-J minus Uni-Mol . All 11 chem-pass leads are defined on the K-J branch. Anchor rows show the experimental , the K-J recompute under the 6-anchor calibration, and the K-J−exp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S10. Kamlet–Jacobs detonation velocity and pressure recomputed from the 6-anchor-calibrated DFT \rho and HOF (per kj_6anchor_recompute.json), compared to the Uni-Mol surrogate prediction. The raw-DFT K-J values are listed in the third column for transparency. Residual is K-J_{\text{cal}} minus Uni-Mol D. All 11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Uni-Mol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Uni-Mol)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 s</w:t>
            </w:r>
            <w:r>
              <w:rPr>
                <w:rFonts w:ascii="Times New Roman" w:hAnsi="Times New Roman"/>
                <w:sz w:val="19"/>
                <w:vertAlign w:val="superscript"/>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(vs exp)</w:t>
            </w:r>
          </w:p>
        </w:tc>
      </w:tr>
    </w:tbl>
    <w:p>
      <w:pPr>
        <w:pStyle w:val="BodyText"/>
        <w:spacing w:before="240"/>
        <w:jc w:val="both"/>
        <w:keepNext w:val="0"/>
        <w:keepLines w:val="0"/>
        <w:widowControl w:val="1"/>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BodyText"/>
        <w:jc w:val="both"/>
        <w:keepNext w:val="0"/>
        <w:keepLines w:val="0"/>
        <w:widowControl w:val="1"/>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BodyText"/>
        <w:jc w:val="both"/>
        <w:keepNext w:val="0"/>
        <w:keepLines w:val="0"/>
        <w:widowControl w:val="1"/>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ImageCaption"/>
        <w:spacing w:before="80" w:after="120" w:line="240" w:lineRule="auto"/>
        <w:jc w:val="center"/>
        <w:keepNext w:val="0"/>
        <w:keepLines/>
        <w:widowControl w:val="1"/>
      </w:pPr>
      <m:oMath>
        <m:r>
          <m:t>ρ</m:t>
        </m:r>
      </m:oMath>
      <m:oMath>
        <m:r>
          <m:t>D</m:t>
        </m:r>
      </m:oMath>
      <m:oMath>
        <m:r>
          <m:t>D</m:t>
        </m:r>
      </m:oMath>
      <m:oMath>
        <m:r>
          <m:rPr>
            <m:sty m:val="p"/>
          </m:rPr>
          <m:t>−</m:t>
        </m:r>
        <m:r>
          <m:t>2.27</m:t>
        </m:r>
      </m:oMath>
      <m:oMath>
        <m:r>
          <m:t>ρ</m:t>
        </m:r>
      </m:oMath>
      <w:r>
        <w:rPr>
          <w:b/>
          <w:i/>
        </w:rPr>
        <w:t>Table S11.</w:t>
      </w:r>
      <w:r>
        <w:rPr>
          <w:b w:val="0"/>
          <w:i/>
        </w:rPr>
        <w:t xml:space="preserve"> </w:t>
      </w:r>
      <w:r>
        <w:rPr>
          <w:b w:val="0"/>
          <w:i/>
        </w:rPr>
        <w:t>K-J residual decomposition by /HOF sensitivity for L4 (Uni-Mol =8.98 km s−1, 6-anchor-calibrated K-J =6.71 km s−1, residual =  km s−1). Both single-variable closures require physically or chemically implausible input shifts, so the residual is attributable primarily to the K-J formula's gas-product distribution assumption in the high-N CHNO regime, not to plausible  or HOF input errors.</w:t>
      </w:r>
    </w:p>
    <w:tbl>
      <w:tblPr>
        <w:tblStyle w:val="Table"/>
        <w:tblW w:type="pct" w:w="5000"/>
        <w:jc w:val="center"/>
        <w:tblLook w:firstRow="1" w:lastRow="0" w:firstColumn="0" w:lastColumn="0" w:noHBand="0" w:noVBand="0" w:val="0020"/>
        <w:tblCaption w:val="Table S11. K-J residual decomposition by \rho/HOF sensitivity for L4 (Uni-Mol D=8.98 km s−1, 6-anchor-calibrated K-J D=6.71 km s−1, residual = -2.27 km s−1).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 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 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 mol</w:t>
            </w:r>
            <w:r>
              <w:rPr>
                <w:rFonts w:ascii="Times New Roman" w:hAnsi="Times New Roman"/>
                <w:sz w:val="19"/>
                <w:vertAlign w:val="superscript"/>
              </w:rPr>
              <w:t xml:space="preserve">−1</w:t>
            </w:r>
            <w:r>
              <w:rPr>
                <w:rFonts w:ascii="Times New Roman" w:hAnsi="Times New Roman"/>
                <w:sz w:val="19"/>
              </w:rPr>
              <w:t xml:space="preserve">; L4 calibrated HOF would have to rise from +292 to +1324 kJ mol</w:t>
            </w:r>
            <w:r>
              <w:rPr>
                <w:rFonts w:ascii="Times New Roman" w:hAnsi="Times New Roman"/>
                <w:sz w:val="19"/>
                <w:vertAlign w:val="superscript"/>
              </w:rPr>
              <w:t xml:space="preserve">−1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 mol</w:t>
            </w:r>
            <w:r>
              <w:rPr>
                <w:rFonts w:ascii="Times New Roman" w:hAnsi="Times New Roman"/>
                <w:sz w:val="19"/>
                <w:vertAlign w:val="superscript"/>
              </w:rPr>
              <w:t xml:space="preserve">−1</w:t>
            </w:r>
            <w:r>
              <w:rPr>
                <w:rFonts w:ascii="Times New Roman" w:hAnsi="Times New Roman"/>
                <w:sz w:val="19"/>
              </w:rPr>
              <w:t xml:space="preserve">); physically extreme for a 13-atom CHNO neutral</w:t>
            </w:r>
          </w:p>
        </w:tc>
      </w:tr>
    </w:tbl>
    <w:p>
      <w:pPr>
        <w:pStyle w:val="BodyText"/>
        <w:spacing w:before="240"/>
        <w:jc w:val="both"/>
        <w:keepNext w:val="0"/>
        <w:keepLines w:val="0"/>
        <w:widowControl w:val="1"/>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BodyText"/>
        <w:jc w:val="both"/>
        <w:keepNext w:val="0"/>
        <w:keepLines w:val="0"/>
        <w:widowControl w:val="1"/>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ImageCaption"/>
        <w:spacing w:before="80" w:after="120" w:line="240" w:lineRule="auto"/>
        <w:jc w:val="center"/>
        <w:keepNext w:val="0"/>
        <w:keepLines/>
        <w:widowControl w:val="1"/>
      </w:pPr>
      <m:oMath>
        <m:r>
          <m:t>ρ</m:t>
        </m:r>
      </m:oMath>
      <m:oMath>
        <m:r>
          <m:t>D</m:t>
        </m:r>
      </m:oMath>
      <m:oMath>
        <m:r>
          <m:t>D</m:t>
        </m:r>
      </m:oMath>
      <m:oMath>
        <m:r>
          <m:t>D</m:t>
        </m:r>
      </m:oMath>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m:oMath>
        <m:r>
          <m:t>p</m:t>
        </m:r>
        <m:r>
          <m:rPr>
            <m:sty m:val="p"/>
          </m:rPr>
          <m:t>=</m:t>
        </m:r>
        <m:r>
          <m:t>4</m:t>
        </m:r>
        <m:r>
          <m:rPr>
            <m:sty m:val="p"/>
          </m:rPr>
          <m:t>×</m:t>
        </m:r>
        <m:sSup>
          <m:e>
            <m:r>
              <m:t>10</m:t>
            </m:r>
          </m:e>
          <m:sup>
            <m:r>
              <m:rPr>
                <m:sty m:val="p"/>
              </m:rPr>
              <m:t>−</m:t>
            </m:r>
            <m:r>
              <m:t>27</m:t>
            </m:r>
          </m:sup>
        </m:sSup>
      </m:oMath>
      <w:r>
        <w:rPr>
          <w:b/>
          <w:i/>
        </w:rPr>
        <w:t>Table S12.</w:t>
      </w:r>
      <w:r>
        <w:rPr>
          <w:b w:val="0"/>
          <w:i/>
        </w:rPr>
        <w:t xml:space="preserve"> </w:t>
      </w:r>
      <w:r>
        <w:rPr>
          <w:b w:val="0"/>
          <w:i/>
        </w:rPr>
        <w:t>Population-level N-fraction stratification of the K-J residual on 575 Tier-A rows of the labelled master that carry simultaneous experimental , HOF, and . Columns: N-fraction bin; row count; mean experimental ; mean K-J recomputed ; mean residual (K-J minus experimental). Pearson , .</w:t>
      </w:r>
    </w:p>
    <w:tbl>
      <w:tblPr>
        <w:tblStyle w:val="Table"/>
        <w:tblW w:type="pct" w:w="5000"/>
        <w:jc w:val="center"/>
        <w:tblLook w:firstRow="1" w:lastRow="0" w:firstColumn="0" w:lastColumn="0" w:noHBand="0" w:noVBand="0" w:val="0020"/>
        <w:tblCaption w:val="Table S12.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 s</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 s</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 s</w:t>
            </w:r>
            <w:r>
              <w:rPr>
                <w:rFonts w:ascii="Times New Roman" w:hAnsi="Times New Roman"/>
                <w:b/>
                <w:sz w:val="19"/>
                <w:vertAlign w:val="superscript"/>
              </w:rPr>
              <w:t xml:space="preserve">−1</w:t>
            </w:r>
            <w:r>
              <w:rPr>
                <w:rFonts w:ascii="Times New Roman" w:hAnsi="Times New Roman"/>
                <w:b/>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BodyText"/>
        <w:spacing w:before="240"/>
        <w:jc w:val="both"/>
        <w:keepNext w:val="0"/>
        <w:keepLines w:val="0"/>
        <w:widowControl w:val="1"/>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positive-correlation N-fraction trend (Pearson</w:t>
      </w:r>
      <w:r>
        <w:t xml:space="preserve"> </w:t>
      </w:r>
      <m:oMath>
        <m:r>
          <m:t>r</m:t>
        </m:r>
        <m:r>
          <m:rPr>
            <m:sty m:val="p"/>
          </m:rPr>
          <m:t>=</m:t>
        </m:r>
        <m:r>
          <m:rPr>
            <m:sty m:val="p"/>
          </m:rPr>
          <m:t>+</m:t>
        </m:r>
        <m:r>
          <m:t>0.43</m:t>
        </m:r>
      </m:oMath>
      <w:r>
        <w:t xml:space="preserve">).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BodyText"/>
        <w:jc w:val="both"/>
        <w:keepNext w:val="0"/>
        <w:keepLines w:val="0"/>
        <w:widowControl w:val="1"/>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ImageCaption"/>
        <w:spacing w:before="80" w:after="120" w:line="240" w:lineRule="auto"/>
        <w:jc w:val="center"/>
        <w:keepNext w:val="0"/>
        <w:keepLines/>
        <w:widowControl w:val="1"/>
      </w:pPr>
      <w:r>
        <w:rPr>
          <w:b/>
          <w:i/>
        </w:rPr>
        <w:t>Table S13.</w:t>
      </w:r>
      <w:r>
        <w:rPr>
          <w:b w:val="0"/>
          <w:i/>
        </w:rPr>
        <w:t xml:space="preserve"> </w:t>
      </w:r>
      <w:r>
        <w:rPr>
          <w:b w:val="0"/>
          <w:i/>
        </w:rPr>
        <w:t>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S13.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BodyText"/>
        <w:spacing w:before="240"/>
        <w:jc w:val="both"/>
        <w:keepNext w:val="0"/>
        <w:keepLines w:val="0"/>
        <w:widowControl w:val="1"/>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BodyText"/>
        <w:jc w:val="both"/>
        <w:keepNext w:val="0"/>
        <w:keepLines w:val="0"/>
        <w:widowControl w:val="1"/>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 raw (pre-calibration)</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applying the 6-anchor calibration to these brackets gives</w:t>
      </w:r>
      <w:r>
        <w:t xml:space="preserve"> </w:t>
      </w:r>
      <m:oMath>
        <m:sSub>
          <m:e>
            <m:r>
              <m:t>ρ</m:t>
            </m:r>
          </m:e>
          <m:sub>
            <m:r>
              <m:rPr>
                <m:nor/>
                <m:sty m:val="p"/>
              </m:rPr>
              <m:t>cal</m:t>
            </m:r>
          </m:sub>
        </m:sSub>
        <m:r>
          <m:rPr>
            <m:sty m:val="p"/>
          </m:rPr>
          <m:t>∈</m:t>
        </m:r>
        <m:r>
          <m:rPr>
            <m:sty m:val="p"/>
          </m:rPr>
          <m:t>[</m:t>
        </m:r>
        <m:r>
          <m:t>1.94</m:t>
        </m:r>
        <m:r>
          <m:rPr>
            <m:sty m:val="p"/>
          </m:rPr>
          <m:t>,</m:t>
        </m:r>
        <m:r>
          <m:t>2.19</m:t>
        </m:r>
        <m:r>
          <m:rPr>
            <m:sty m:val="p"/>
          </m:rPr>
          <m:t>]</m:t>
        </m:r>
      </m:oMath>
      <w:r>
        <w:t xml:space="preserve"> g cm</w:t>
      </w:r>
      <w:r>
        <w:rPr>
          <w:vertAlign w:val="superscript"/>
        </w:rPr>
        <w:t xml:space="preserve">−3</w:t>
      </w:r>
      <w:r>
        <w:t xml:space="preserve"> </w:t>
      </w:r>
      <w:r>
        <w:t xml:space="preserve">for L1, which contains the headline</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at the production pk = 0.69.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BodyText"/>
        <w:jc w:val="both"/>
        <w:keepNext w:val="0"/>
        <w:keepLines w:val="0"/>
        <w:widowControl w:val="1"/>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BodyText"/>
        <w:jc w:val="both"/>
        <w:keepNext w:val="0"/>
        <w:keepLines w:val="0"/>
        <w:widowControl w:val="1"/>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BodyText"/>
        <w:jc w:val="both"/>
        <w:keepNext w:val="0"/>
        <w:keepLines w:val="0"/>
        <w:widowControl w:val="1"/>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BodyText"/>
        <w:jc w:val="both"/>
        <w:keepNext w:val="0"/>
        <w:keepLines w:val="0"/>
        <w:widowControl w:val="1"/>
      </w:pPr>
      <w:r>
        <w:rPr>
          <w:b/>
          <w:bCs/>
        </w:rPr>
        <w:t xml:space="preserve">C.13 Independent CJ cross-check.</w:t>
      </w:r>
      <w:r>
        <w:t xml:space="preserve"> </w:t>
      </w:r>
      <w:r>
        <w:t xml:space="preserve">A thermochemical-equilibrium Cantera ideal-gas Chapman–Jouguet recompute over all eleven leads and all six calibration anchors characterises the product-gas composition and energy release of each candidate. Two properties of the ideal-gas equation of state define what the recompute measures. It is</w:t>
      </w:r>
      <w:r>
        <w:t xml:space="preserve"> </w:t>
      </w:r>
      <m:oMath>
        <m:r>
          <m:rPr>
            <m:sty m:val="p"/>
          </m:rPr>
          <m:t>∼</m:t>
        </m:r>
      </m:oMath>
      <w:r>
        <w:t xml:space="preserve">3.5</w:t>
      </w:r>
      <m:oMath>
        <m:r>
          <m:rPr>
            <m:sty m:val="p"/>
          </m:rPr>
          <m:t>×</m:t>
        </m:r>
      </m:oMath>
      <w:r>
        <w:t xml:space="preserve"> </w:t>
      </w:r>
      <w:r>
        <w:t xml:space="preserve">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it is by construction nearly insensitive to condensed-phase density, with L1 recomputed at</w:t>
      </w:r>
      <w:r>
        <w:t xml:space="preserve"> </w:t>
      </w:r>
      <m:oMath>
        <m:r>
          <m:t>ρ</m:t>
        </m:r>
        <m:r>
          <m:rPr>
            <m:sty m:val="p"/>
          </m:rPr>
          <m:t>=</m:t>
        </m:r>
        <m:r>
          <m:t>2.53</m:t>
        </m:r>
      </m:oMath>
      <w:r>
        <w:t xml:space="preserve"> </w:t>
      </w:r>
      <w:r>
        <w:t xml:space="preserve">versus</w:t>
      </w:r>
      <w:r>
        <w:t xml:space="preserve"> </w:t>
      </w:r>
      <m:oMath>
        <m:r>
          <m:t>2.09</m:t>
        </m:r>
      </m:oMath>
      <w:r>
        <w:t xml:space="preserve"> g cm</w:t>
      </w:r>
      <w:r>
        <w:rPr>
          <w:vertAlign w:val="superscript"/>
        </w:rPr>
        <w:t xml:space="preserve">−3</w:t>
      </w:r>
      <w:r>
        <w:t xml:space="preserve"> </w:t>
      </w:r>
      <w:r>
        <w:t xml:space="preserve">moving</w:t>
      </w:r>
      <w:r>
        <w:t xml:space="preserve"> </w:t>
      </w:r>
      <m:oMath>
        <m:sSub>
          <m:e>
            <m:r>
              <m:t>D</m:t>
            </m:r>
          </m:e>
          <m:sub>
            <m:r>
              <m:rPr>
                <m:nor/>
                <m:sty m:val="p"/>
              </m:rPr>
              <m:t>CJ</m:t>
            </m:r>
          </m:sub>
        </m:sSub>
      </m:oMath>
      <w:r>
        <w:t xml:space="preserve"> </w:t>
      </w:r>
      <w:r>
        <w:t xml:space="preserve">by less than 0.01 km s</w:t>
      </w:r>
      <w:r>
        <w:rPr>
          <w:vertAlign w:val="superscript"/>
        </w:rPr>
        <w:t xml:space="preserve">−1</w:t>
      </w:r>
      <w:r>
        <w:t xml:space="preserve">. Density is the dominant variable in Kamlet–Jacobs, so the two treatments weight the problem differently and their orderings are independent (Spearman</w:t>
      </w:r>
      <w:r>
        <w:t xml:space="preserve"> </w:t>
      </w:r>
      <m:oMath>
        <m:sSub>
          <m:e>
            <m:r>
              <m:t>ρ</m:t>
            </m:r>
          </m:e>
          <m:sub>
            <m:r>
              <m:t>s</m:t>
            </m:r>
          </m:sub>
        </m:sSub>
        <m:r>
          <m:rPr>
            <m:sty m:val="p"/>
          </m:rPr>
          <m:t>=</m:t>
        </m:r>
        <m:r>
          <m:rPr>
            <m:sty m:val="p"/>
          </m:rPr>
          <m:t>−</m:t>
        </m:r>
        <m:r>
          <m:t>0.62</m:t>
        </m:r>
      </m:oMath>
      <w:r>
        <w:t xml:space="preserve">,</w:t>
      </w:r>
      <w:r>
        <w:t xml:space="preserve"> </w:t>
      </w:r>
      <m:oMath>
        <m:r>
          <m:t>n</m:t>
        </m:r>
        <m:r>
          <m:rPr>
            <m:sty m:val="p"/>
          </m:rPr>
          <m:t>=</m:t>
        </m:r>
        <m:r>
          <m:t>11</m:t>
        </m:r>
      </m:oMath>
      <w:r>
        <w:t xml:space="preserve">): L4 and L18 reach the RDX/HMX band (2.52 vs RDX 2.50, HMX 2.49 km s</w:t>
      </w:r>
      <w:r>
        <w:rPr>
          <w:vertAlign w:val="superscript"/>
        </w:rPr>
        <w:t xml:space="preserve">−1</w:t>
      </w:r>
      <w:r>
        <w:t xml:space="preserve">) on energy release, while L1, which leads on density, sits between the FOX-7 and NTO anchors at 2.22 km s</w:t>
      </w:r>
      <w:r>
        <w:rPr>
          <w:vertAlign w:val="superscript"/>
        </w:rPr>
        <w:t xml:space="preserve">−1</w:t>
      </w:r>
      <w:r>
        <w:t xml:space="preserve">. The recompute therefore serves as a product-composition and energy-release check, and it quantifies the covolume requirement directly: a BKW/JCZ3-class solver is the necessary next step for absolute-grade</w:t>
      </w:r>
      <w:r>
        <w:t xml:space="preserve"> </w:t>
      </w:r>
      <m:oMath>
        <m:r>
          <m:t>D</m:t>
        </m:r>
      </m:oMath>
      <w:r>
        <w:t xml:space="preserve"> </w:t>
      </w:r>
      <w:r>
        <w:t xml:space="preserve">(Section 3), not an optional refinement.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Supplementary Table S30)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bookmarkEnd w:id="20"/>
    <w:bookmarkStart w:id="34" w:name="X312b1e540ba401b2ae6391b9eda3d5a926d9c43"/>
    <w:p>
      <w:pPr>
        <w:pStyle w:val="Heading3"/>
        <w:keepNext/>
        <w:keepLines/>
        <w:widowControl w:val="1"/>
      </w:pPr>
      <w:r>
        <w:t xml:space="preserve">D. Reproducibility details and extended ablations</w:t>
      </w:r>
    </w:p>
    <w:p>
      <w:pPr>
        <w:pStyle w:val="FirstParagraph"/>
        <w:jc w:val="both"/>
        <w:keepNext w:val="0"/>
        <w:keepLines w:val="0"/>
        <w:widowControl w:val="1"/>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BodyText"/>
        <w:jc w:val="both"/>
        <w:keepNext w:val="0"/>
        <w:keepLines w:val="0"/>
        <w:widowControl w:val="1"/>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BodyText"/>
        <w:jc w:val="both"/>
        <w:keepNext w:val="0"/>
        <w:keepLines w:val="0"/>
        <w:widowControl w:val="1"/>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BodyText"/>
        <w:jc w:val="both"/>
        <w:keepNext w:val="0"/>
        <w:keepLines w:val="0"/>
        <w:widowControl w:val="1"/>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BodyText"/>
        <w:jc w:val="both"/>
        <w:keepNext w:val="0"/>
        <w:keepLines w:val="0"/>
        <w:widowControl w:val="1"/>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BodyText"/>
        <w:jc w:val="both"/>
        <w:keepNext w:val="0"/>
        <w:keepLines w:val="0"/>
        <w:widowControl w:val="1"/>
      </w:pPr>
      <w:r>
        <w:rPr>
          <w:b/>
          <w:bCs/>
        </w:rPr>
        <w:t xml:space="preserve">D.5 Diagnostic protocol.</w:t>
      </w:r>
      <w:r>
        <w:t xml:space="preserve"> </w:t>
      </w:r>
      <w:r>
        <w:t xml:space="preserve">The production guidance configuration of Section 4.12 (</w:t>
      </w:r>
      <m:oMath>
        <m:sSub>
          <m:e>
            <m:r>
              <m:t>σ</m:t>
            </m:r>
          </m:e>
          <m:sub>
            <m:r>
              <m:rPr>
                <m:sty m:val="p"/>
              </m:rPr>
              <m:t>max</m:t>
            </m:r>
          </m:sub>
        </m:sSub>
        <m:r>
          <m:rPr>
            <m:sty m:val="p"/>
          </m:rPr>
          <m:t>=</m:t>
        </m:r>
        <m:r>
          <m:t>0</m:t>
        </m:r>
      </m:oMath>
      <w:r>
        <w:t xml:space="preserve">,</w:t>
      </w:r>
      <w:r>
        <w:t xml:space="preserve"> </w:t>
      </w:r>
      <m:oMath>
        <m:sSub>
          <m:e>
            <m:r>
              <m:t>C</m:t>
            </m:r>
          </m:e>
          <m:sub>
            <m:r>
              <m:t>g</m:t>
            </m:r>
          </m:sub>
        </m:sSub>
        <m:r>
          <m:rPr>
            <m:sty m:val="p"/>
          </m:rPr>
          <m:t>=</m:t>
        </m:r>
        <m:r>
          <m:t>50</m:t>
        </m:r>
      </m:oMath>
      <w:r>
        <w:t xml:space="preserve">) was established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BodyText"/>
        <w:jc w:val="both"/>
        <w:keepNext w:val="0"/>
        <w:keepLines w:val="0"/>
        <w:widowControl w:val="1"/>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ImageCaption"/>
        <w:spacing w:before="80" w:after="120" w:line="240" w:lineRule="auto"/>
        <w:jc w:val="center"/>
        <w:keepNext w:val="0"/>
        <w:keepLines/>
        <w:widowControl w:val="1"/>
      </w:pP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b/>
          <w:i/>
        </w:rPr>
        <w:t>Table S14.</w:t>
      </w:r>
      <w:r>
        <w:rPr>
          <w:b w:val="0"/>
          <w:i/>
        </w:rPr>
        <w:t xml:space="preserve"> </w:t>
      </w:r>
      <w:r>
        <w:rPr>
          <w:b w:val="0"/>
          <w:i/>
        </w:rPr>
        <w:t>12-cell head-state grid over  and  at pool=20 000, single seed, patched sampler, collapsed by output md5. Cells cluster into exactly four distinct outputs by 2×2 head-on/off; each head is fully engaged as soon as its scale is non-zero, because the per-row clamp saturates on activation, so the heads compose as independent on/off levers over chemistry class; continuous per-head weighting is available by tightening the clamp (B.3).</w:t>
      </w:r>
    </w:p>
    <w:tbl>
      <w:tblPr>
        <w:tblStyle w:val="Table"/>
        <w:tblW w:type="pct" w:w="5000"/>
        <w:jc w:val="center"/>
        <w:tblLook w:firstRow="1" w:lastRow="0" w:firstColumn="0" w:lastColumn="0" w:noHBand="0" w:noVBand="0" w:val="0020"/>
        <w:tblCaption w:val="Table S14. 12-cell head-state grid over s_{\text{viab}}\in\{0,1,5\} and s_{\text{hazard}}\in\{0,1,2,5\} at pool=20 000, single seed, patched sampler, collapsed by output md5. Cells cluster into exactly four distinct outputs by 2×2 head-on/off; each head is fully engaged as soon as its scale is non-zero, because the per-row clamp saturates on activation, so the heads compose as independent on/off levers over chemistry class; continuous per-head weighting is available by tightening the clamp (B.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BodyText"/>
        <w:spacing w:before="240"/>
        <w:jc w:val="both"/>
        <w:keepNext w:val="0"/>
        <w:keepLines w:val="0"/>
        <w:widowControl w:val="1"/>
      </w:pPr>
      <w:r>
        <w:t xml:space="preserve">Within each cluster the output is invariant to per-head scale magnitude: the gradient-norm clamp saturates as soon as a head is active, so all non-zero scales in a cluster are equivalent. Fine analogue scale control requires tightening the clamp (see Supplementary Section B.3).</w:t>
      </w:r>
    </w:p>
    <w:p>
      <w:pPr>
        <w:pStyle w:val="BodyText"/>
        <w:jc w:val="both"/>
        <w:keepNext w:val="0"/>
        <w:keepLines w:val="0"/>
        <w:widowControl w:val="1"/>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ImageCaption"/>
        <w:spacing w:before="80" w:after="120" w:line="240" w:lineRule="auto"/>
        <w:jc w:val="center"/>
        <w:keepNext w:val="0"/>
        <w:keepLines/>
        <w:widowControl w:val="1"/>
      </w:pPr>
      <m:oMath>
        <m:sSub>
          <m:e>
            <m:r>
              <m:t>s</m:t>
            </m:r>
          </m:e>
          <m:sub>
            <m:r>
              <m:rPr>
                <m:nor/>
                <m:sty m:val="p"/>
              </m:rPr>
              <m:t>sens</m:t>
            </m:r>
          </m:sub>
        </m:sSub>
        <m:r>
          <m:rPr>
            <m:sty m:val="p"/>
          </m:rPr>
          <m:t>=</m:t>
        </m:r>
        <m:r>
          <m:t>0.3</m:t>
        </m:r>
      </m:oMath>
      <m:oMath>
        <m:sSub>
          <m:e>
            <m:r>
              <m:t>s</m:t>
            </m:r>
          </m:e>
          <m:sub>
            <m:r>
              <m:rPr>
                <m:nor/>
                <m:sty m:val="p"/>
              </m:rPr>
              <m:t>sens</m:t>
            </m:r>
          </m:sub>
        </m:sSub>
        <m:r>
          <m:rPr>
            <m:sty m:val="p"/>
          </m:rPr>
          <m:t>=</m:t>
        </m:r>
        <m:r>
          <m:t>0.3</m:t>
        </m:r>
      </m:oMath>
      <m:oMath>
        <m:r>
          <m:rPr>
            <m:sty m:val="p"/>
          </m:rPr>
          <m:t>∼</m:t>
        </m:r>
        <m:r>
          <m:t>8</m:t>
        </m:r>
        <m:r>
          <m:rPr>
            <m:sty m:val="p"/>
          </m:rPr>
          <m:t>×</m:t>
        </m:r>
      </m:oMath>
      <m:oMath>
        <m:r>
          <m:rPr>
            <m:sty m:val="p"/>
          </m:rPr>
          <m:t>∼</m:t>
        </m:r>
      </m:oMath>
      <m:oMath>
        <m:r>
          <m:t>D</m:t>
        </m:r>
      </m:oMath>
      <w:r>
        <w:rPr>
          <w:b/>
          <w:i/>
        </w:rPr>
        <w:t>Table S15.</w:t>
      </w:r>
      <w:r>
        <w:rPr>
          <w:b w:val="0"/>
          <w:i/>
        </w:rPr>
        <w:t xml:space="preserve"> </w:t>
      </w:r>
      <w:r>
        <w:rPr>
          <w:b w:val="0"/>
          <w:i/>
        </w:rPr>
        <w:t>Heuristic vs literature-grounded sensitivity-head ablation at pool=3 000 single seed: unguided baseline;  with the heuristic-trained head;  with the literature-grounded h50-trained head. The literature-grounded head reduces top-5 mean sensitivity by  at the cost of 0.4 km s−1 on top-1 .</w:t>
      </w:r>
    </w:p>
    <w:tbl>
      <w:tblPr>
        <w:tblStyle w:val="Table"/>
        <w:tblW w:type="pct" w:w="5000"/>
        <w:jc w:val="center"/>
        <w:tblLook w:firstRow="1" w:lastRow="0" w:firstColumn="0" w:lastColumn="0" w:noHBand="0" w:noVBand="0" w:val="0020"/>
        <w:tblCaption w:val="Table S15.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 s−1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 s</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BodyText"/>
        <w:spacing w:before="240"/>
        <w:jc w:val="both"/>
        <w:keepNext w:val="0"/>
        <w:keepLines w:val="0"/>
        <w:widowControl w:val="1"/>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BodyText"/>
        <w:jc w:val="both"/>
        <w:keepNext w:val="0"/>
        <w:keepLines w:val="0"/>
        <w:widowControl w:val="1"/>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ImageCaption"/>
        <w:spacing w:before="80" w:after="120" w:line="240" w:lineRule="auto"/>
        <w:jc w:val="center"/>
        <w:keepNext w:val="0"/>
        <w:keepLines/>
        <w:widowControl w:val="1"/>
      </w:pPr>
      <w:r>
        <w:rPr>
          <w:b/>
          <w:i/>
        </w:rPr>
        <w:t>Table S16.</w:t>
      </w:r>
      <w:r>
        <w:rPr>
          <w:b w:val="0"/>
          <w:i/>
        </w:rPr>
        <w:t xml:space="preserve"> </w:t>
      </w:r>
      <w:r>
        <w:rPr>
          <w:b w:val="0"/>
          <w:i/>
        </w:rPr>
        <w:t>Per-class breakdown of the 23/100 strengthened-SMARTS rejects on the merged top-100. The new motif rules (N-nitroimine; terminal azo−NO2; azo−amino−NO2;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S16.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BodyText"/>
        <w:spacing w:before="240"/>
        <w:jc w:val="both"/>
        <w:keepNext w:val="0"/>
        <w:keepLines w:val="0"/>
        <w:widowControl w:val="1"/>
      </w:pPr>
      <w: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Heading4"/>
        <w:keepNext/>
        <w:keepLines/>
        <w:widowControl w:val="1"/>
      </w:pPr>
      <w:r>
        <w:t xml:space="preserve">D.8 CFG-scale ablation</w:t>
      </w:r>
    </w:p>
    <w:p>
      <w:pPr>
        <w:pStyle w:val="FirstParagraph"/>
        <w:jc w:val="both"/>
        <w:keepNext w:val="0"/>
        <w:keepLines w:val="0"/>
        <w:widowControl w:val="1"/>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(Supplementary Fig. S22).</w:t>
      </w:r>
    </w:p>
    <w:p>
      <w:pPr>
        <w:pStyle w:val="BodyText"/>
        <w:jc w:val="both"/>
        <w:keepNext w:val="0"/>
        <w:keepLines w:val="0"/>
        <w:widowControl w:val="1"/>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trend: all four quantile errors fall monotonically as</w:t>
      </w:r>
      <w:r>
        <w:t xml:space="preserve"> </w:t>
      </w:r>
      <m:oMath>
        <m:r>
          <m:t>w</m:t>
        </m:r>
      </m:oMath>
      <w:r>
        <w:t xml:space="preserve"> </w:t>
      </w:r>
      <w:r>
        <w:t xml:space="preserve">increases from 2 to 7; the density and detonation-velocity errors decline steadily, while the HOF and detonation-pressure errors are front-loaded (most of the gain is realised by</w:t>
      </w:r>
      <w:r>
        <w:t xml:space="preserve"> </w:t>
      </w:r>
      <m:oMath>
        <m:r>
          <m:t>w</m:t>
        </m:r>
        <m:r>
          <m:rPr>
            <m:sty m:val="p"/>
          </m:rPr>
          <m:t>=</m:t>
        </m:r>
        <m:r>
          <m:t>5</m:t>
        </m:r>
      </m:oMath>
      <w:r>
        <w:t xml:space="preserve">, with only a marginal further improvement at</w:t>
      </w:r>
      <w:r>
        <w:t xml:space="preserve"> </w:t>
      </w:r>
      <m:oMath>
        <m:r>
          <m:t>w</m:t>
        </m:r>
        <m:r>
          <m:rPr>
            <m:sty m:val="p"/>
          </m:rPr>
          <m:t>=</m:t>
        </m:r>
        <m:r>
          <m:t>7</m:t>
        </m:r>
      </m:oMath>
      <w:r>
        <w:t xml:space="preserve">). Candidate survival, not quantile error, is what caps the production setting at</w:t>
      </w:r>
      <w:r>
        <w:t xml:space="preserve"> </w:t>
      </w:r>
      <m:oMath>
        <m:r>
          <m:t>w</m:t>
        </m:r>
        <m:r>
          <m:rPr>
            <m:sty m:val="p"/>
          </m:rPr>
          <m:t>=</m:t>
        </m:r>
        <m:r>
          <m:t>7</m:t>
        </m:r>
      </m:oMath>
      <w:r>
        <w:t xml:space="preserve"> </w:t>
      </w:r>
      <w:r>
        <w:t xml:space="preserve">(Section 4.15, Supplementary Fig. S22).</w:t>
      </w:r>
    </w:p>
    <w:p>
      <w:pPr>
        <w:pStyle w:val="ImageCaption"/>
        <w:spacing w:before="80" w:after="120" w:line="240" w:lineRule="auto"/>
        <w:jc w:val="center"/>
        <w:keepNext w:val="0"/>
        <w:keepLines/>
        <w:widowControl w:val="1"/>
      </w:pPr>
      <w:r>
        <w:rPr>
          <w:b/>
          <w:i/>
        </w:rPr>
        <w:t>Table S17.</w:t>
      </w:r>
      <w:r>
        <w:rPr>
          <w:b w:val="0"/>
          <w:i/>
        </w:rPr>
        <w:t xml:space="preserve"> </w:t>
      </w:r>
      <w:r>
        <w:rPr>
          <w:b w:val="0"/>
          <w:i/>
        </w:rPr>
        <w:t>Per-property quantile-match error (mean relative error, %) for the v4b production-architecture classifier-free guidance-scale sweep, at guidance scales w = 2.0, 5.0, and 7.0; lower is better.</w:t>
      </w:r>
    </w:p>
    <w:tbl>
      <w:tblPr>
        <w:tblStyle w:val="Table"/>
        <w:tblW w:type="pct" w:w="5000"/>
        <w:jc w:val="center"/>
        <w:tblLook w:firstRow="1" w:lastRow="0" w:firstColumn="0" w:lastColumn="0" w:noHBand="0" w:noVBand="0" w:val="0020"/>
        <w:tblCaption w:val="Table S17. Per-property quantile-match error (mean relative error, %) for the v4b production-architecture classifier-free guidance-scale sweep, at guidance scales w = 2.0, 5.0, and 7.0; lower is bet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Heading4"/>
        <w:keepNext/>
        <w:keepLines/>
        <w:widowControl w:val="1"/>
      </w:pPr>
      <w:r>
        <w:t xml:space="preserve">D.9 Hard-negative viability-head augmentation ablation</w:t>
      </w:r>
    </w:p>
    <w:p>
      <w:pPr>
        <w:pStyle w:val="FirstParagraph"/>
        <w:jc w:val="both"/>
        <w:keepNext w:val="0"/>
        <w:keepLines w:val="0"/>
        <w:widowControl w:val="1"/>
      </w:pPr>
      <w:r>
        <w:t xml:space="preserve">We trained two variants of the multi-head model on identical noised-latent inputs to compare hard-negative-augmentation budgets:</w:t>
      </w:r>
    </w:p>
    <w:p>
      <w:pPr>
        <w:pStyle w:val="Compact"/>
        <w:numPr>
          <w:ilvl w:val="0"/>
          <w:numId w:val="1002"/>
        </w:numPr>
        <w:ind w:left="360" w:hanging="259"/>
        <w:jc w:val="both"/>
        <w:keepNext w:val="0"/>
        <w:keepLines w:val="0"/>
        <w:widowControl w:val="1"/>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numPr>
          <w:ilvl w:val="0"/>
          <w:numId w:val="1002"/>
        </w:numPr>
        <w:ind w:left="360" w:hanging="259"/>
        <w:jc w:val="both"/>
        <w:keepNext w:val="0"/>
        <w:keepLines w:val="0"/>
        <w:widowControl w:val="1"/>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FirstParagraph"/>
        <w:jc w:val="both"/>
        <w:keepNext w:val="0"/>
        <w:keepLines w:val="0"/>
        <w:widowControl w:val="1"/>
      </w:pPr>
      <w:r>
        <w:t xml:space="preserve">On a held-out probe of seven anchor energetics (RDX, HMX, TNT, FOX-7, PETN, TATB, NTO) and five known gaming molecules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gaming molecules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gaming molecules</w:t>
      </w:r>
      <w:r>
        <w:t xml:space="preserve"> </w:t>
      </w:r>
      <m:oMath>
        <m:r>
          <m:rPr>
            <m:sty m:val="p"/>
          </m:rPr>
          <m:t>∈</m:t>
        </m:r>
      </m:oMath>
      <w:r>
        <w:t xml:space="preserve"> </w:t>
      </w:r>
      <w:r>
        <w:t xml:space="preserve">[0.12, 0.84]. Both discriminate, but the budget-918 checkpoint demoted the worst-offender gaming molecule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negatives mined from the sampler's own posterior teach a gradient that generic drug-like ZINC negatives cannot, being too far from the encoder's posterior.</w:t>
      </w:r>
    </w:p>
    <w:bookmarkEnd w:id="22"/>
    <w:bookmarkStart w:id="29" w:name="d.10-reproducibility-across-pool-sizes"/>
    <w:p>
      <w:pPr>
        <w:pStyle w:val="Heading4"/>
        <w:keepNext/>
        <w:keepLines/>
        <w:widowControl w:val="1"/>
      </w:pPr>
      <w:r>
        <w:t xml:space="preserve">D.10 Reproducibility across pool sizes</w:t>
      </w:r>
    </w:p>
    <w:p>
      <w:pPr>
        <w:pStyle w:val="FirstParagraph"/>
        <w:jc w:val="both"/>
        <w:keepNext w:val="0"/>
        <w:keepLines w:val="0"/>
        <w:widowControl w:val="1"/>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production pool</w:t>
      </w:r>
      <w:r>
        <w:t xml:space="preserve"> </w:t>
      </w:r>
      <m:oMath>
        <m:r>
          <m:rPr>
            <m:sty m:val="p"/>
          </m:rPr>
          <m:t>≥</m:t>
        </m:r>
      </m:oMath>
      <w:r>
        <w:t xml:space="preserve"> </w:t>
      </w:r>
      <w:r>
        <w:t xml:space="preserve">40 000 gives the stable estimate used throughout Section 2.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S2.</w:t>
      </w:r>
      <w:r>
        <w:rPr>
          <w:b w:val="0"/>
          <w:i/>
        </w:rPr>
        <w:t xml:space="preserve"> </w:t>
      </w:r>
      <w:r>
        <w:rPr>
          <w:b w:val="0"/>
          <w:i/>
        </w:rPr>
        <w:t>Distribution of composite scores over the top-200 of an unguided pool=40 000 run after the Pareto scaffold-aware ranker (range [0.564, 0.831]).</w:t>
      </w:r>
    </w:p>
    <w:p>
      <w:pPr>
        <w:pStyle w:val="BodyText"/>
        <w:jc w:val="both"/>
        <w:keepNext w:val="0"/>
        <w:keepLines w:val="0"/>
        <w:widowControl w:val="1"/>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S3.</w:t>
      </w:r>
      <w:r>
        <w:rPr>
          <w:b w:val="0"/>
          <w:i/>
        </w:rPr>
        <w:t xml:space="preserve"> </w:t>
      </w:r>
      <w:r>
        <w:rPr>
          <w:b w:val="0"/>
          <w:i/>
        </w:rPr>
        <w:t>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Heading4"/>
        <w:keepNext/>
        <w:keepLines/>
        <w:widowControl w:val="1"/>
      </w:pPr>
      <w:r>
        <w:t xml:space="preserve">D.11 Distribution-learning metrics</w:t>
      </w:r>
    </w:p>
    <w:p>
      <w:pPr>
        <w:pStyle w:val="FirstParagraph"/>
        <w:jc w:val="both"/>
        <w:keepNext w:val="0"/>
        <w:keepLines w:val="0"/>
        <w:widowControl w:val="1"/>
      </w:pPr>
      <w:r>
        <w:t xml:space="preserve">To address standard distribution-learning benchmarks standard in the distribution-learning literature,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ImageCaption"/>
        <w:spacing w:before="80" w:after="120" w:line="240" w:lineRule="auto"/>
        <w:jc w:val="center"/>
        <w:keepNext w:val="0"/>
        <w:keepLines/>
        <w:widowControl w:val="1"/>
      </w:pPr>
      <m:oMath>
        <m:sSub>
          <m:e>
            <m:r>
              <m:t>s</m:t>
            </m:r>
          </m:e>
          <m:sub>
            <m:r>
              <m:rPr>
                <m:nor/>
                <m:sty m:val="p"/>
              </m:rPr>
              <m:t>viab</m:t>
            </m:r>
          </m:sub>
        </m:sSub>
        <m:r>
          <m:t>​</m:t>
        </m:r>
        <m:r>
          <m:rPr>
            <m:sty m:val="p"/>
          </m:rPr>
          <m:t>=</m:t>
        </m:r>
        <m:r>
          <m:t>​</m:t>
        </m:r>
        <m:r>
          <m:t>1.0</m:t>
        </m:r>
      </m:oMath>
      <m:oMath>
        <m:sSub>
          <m:e>
            <m:r>
              <m:t>s</m:t>
            </m:r>
          </m:e>
          <m:sub>
            <m:r>
              <m:rPr>
                <m:nor/>
                <m:sty m:val="p"/>
              </m:rPr>
              <m:t>sens</m:t>
            </m:r>
          </m:sub>
        </m:sSub>
        <m:r>
          <m:t>​</m:t>
        </m:r>
        <m:r>
          <m:rPr>
            <m:sty m:val="p"/>
          </m:rPr>
          <m:t>=</m:t>
        </m:r>
        <m:r>
          <m:t>​</m:t>
        </m:r>
        <m:r>
          <m:t>0.3</m:t>
        </m:r>
      </m:oMath>
      <m:oMath>
        <m:sSub>
          <m:e>
            <m:r>
              <m:t>s</m:t>
            </m:r>
          </m:e>
          <m:sub>
            <m:r>
              <m:rPr>
                <m:nor/>
                <m:sty m:val="p"/>
              </m:rPr>
              <m:t>hazard</m:t>
            </m:r>
          </m:sub>
        </m:sSub>
        <m:r>
          <m:t>​</m:t>
        </m:r>
        <m:r>
          <m:rPr>
            <m:sty m:val="p"/>
          </m:rPr>
          <m:t>=</m:t>
        </m:r>
        <m:r>
          <m:t>​</m:t>
        </m:r>
        <m:r>
          <m:t>1.0</m:t>
        </m:r>
      </m:oMath>
      <m:oMath>
        <m:sSub>
          <m:e>
            <m:r>
              <m:t>s</m:t>
            </m:r>
          </m:e>
          <m:sub>
            <m:r>
              <m:rPr>
                <m:nor/>
                <m:sty m:val="p"/>
              </m:rPr>
              <m:t>hazard</m:t>
            </m:r>
          </m:sub>
        </m:sSub>
        <m:r>
          <m:t>​</m:t>
        </m:r>
        <m:r>
          <m:rPr>
            <m:sty m:val="p"/>
          </m:rPr>
          <m:t>=</m:t>
        </m:r>
        <m:r>
          <m:t>​</m:t>
        </m:r>
        <m:r>
          <m:t>2.0</m:t>
        </m:r>
      </m:oMath>
      <m:oMath>
        <m:r>
          <m:rPr>
            <m:sty m:val="p"/>
          </m:rPr>
          <m:t>−</m:t>
        </m:r>
      </m:oMath>
      <w:r>
        <w:rPr>
          <w:b/>
          <w:i/>
        </w:rPr>
        <w:t>Table S18.</w:t>
      </w:r>
      <w:r>
        <w:rPr>
          <w:b w:val="0"/>
          <w:i/>
        </w:rPr>
        <w:t xml:space="preserve"> </w:t>
      </w:r>
      <w:r>
        <w:rPr>
          <w:b w:val="0"/>
          <w:i/>
        </w:rPr>
        <w:t>MOSES-style distribution-learning metrics on each of the four guidance conditions of Supplementary Section F.3 (pool = 10 000 SMILES per condition). Conditions C0–C3 are: C0 unguided (classifier-free guidance only); C1 viab+sens (, ); C2 viab+sens+hazard (adds ); C3 hazard-only (, other heads off). Columns: RDKit validity rate; uniqueness fraction in the 10k pool; novelty against the labelled master corpus (LM, 65 980 rows); MOSES IntDiv1 internal-diversity score (1  mean pairwise Tanimoto); count of unique Bemis–Murcko scaffolds in the full 10k pool (acyclic molecules, the majority of the pool, share a single empty scaffold);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S18. MOSES-style distribution-learning metrics on each of the four guidance conditions of Supplementary Section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full 10k pool (acyclic molecules, the majority of the pool, share a single empty scaffold);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BodyText"/>
        <w:spacing w:before="240"/>
        <w:jc w:val="both"/>
        <w:keepNext w:val="0"/>
        <w:keepLines w:val="0"/>
        <w:widowControl w:val="1"/>
      </w:pPr>
      <w:r>
        <w:t xml:space="preserve">The MOSES small-multiples figure (validity, scaffold uniqueness, internal diversity, FCD) has been promoted into Section 2.5 as Fig 8.</w:t>
      </w:r>
    </w:p>
    <w:p>
      <w:pPr>
        <w:pStyle w:val="BodyText"/>
        <w:jc w:val="both"/>
        <w:keepNext w:val="0"/>
        <w:keepLines w:val="0"/>
        <w:widowControl w:val="1"/>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across seeds.</w:t>
      </w:r>
    </w:p>
    <w:p>
      <w:pPr>
        <w:pStyle w:val="ImageCaption"/>
        <w:spacing w:before="80" w:after="120" w:line="240" w:lineRule="auto"/>
        <w:jc w:val="center"/>
        <w:keepNext w:val="0"/>
        <w:keepLines/>
        <w:widowControl w:val="1"/>
      </w:pPr>
      <m:oMath>
        <m:r>
          <m:rPr>
            <m:sty m:val="p"/>
          </m:rPr>
          <m:t>±</m:t>
        </m:r>
      </m:oMath>
      <m:oMath>
        <m:sSub>
          <m:e>
            <m:r>
              <m:t>s</m:t>
            </m:r>
          </m:e>
          <m:sub>
            <m:r>
              <m:rPr>
                <m:nor/>
                <m:sty m:val="p"/>
              </m:rPr>
              <m:t>viab</m:t>
            </m:r>
          </m:sub>
        </m:sSub>
        <m:r>
          <m:t>​</m:t>
        </m:r>
        <m:r>
          <m:rPr>
            <m:sty m:val="p"/>
          </m:rPr>
          <m:t>=</m:t>
        </m:r>
        <m:r>
          <m:t>​</m:t>
        </m:r>
        <m:r>
          <m:t>1.0</m:t>
        </m:r>
      </m:oMath>
      <m:oMath>
        <m:r>
          <m:rPr>
            <m:sty m:val="p"/>
          </m:rPr>
          <m:t>+</m:t>
        </m:r>
        <m:sSub>
          <m:e>
            <m:r>
              <m:t>s</m:t>
            </m:r>
          </m:e>
          <m:sub>
            <m:r>
              <m:rPr>
                <m:nor/>
                <m:sty m:val="p"/>
              </m:rPr>
              <m:t>sens</m:t>
            </m:r>
          </m:sub>
        </m:sSub>
        <m:r>
          <m:t>​</m:t>
        </m:r>
        <m:r>
          <m:rPr>
            <m:sty m:val="p"/>
          </m:rPr>
          <m:t>=</m:t>
        </m:r>
        <m:r>
          <m:t>​</m:t>
        </m:r>
        <m:r>
          <m:t>0.3</m:t>
        </m:r>
      </m:oMath>
      <m:oMath>
        <m:r>
          <m:rPr>
            <m:sty m:val="p"/>
          </m:rPr>
          <m:t>+</m:t>
        </m:r>
        <m:sSub>
          <m:e>
            <m:r>
              <m:t>s</m:t>
            </m:r>
          </m:e>
          <m:sub>
            <m:r>
              <m:rPr>
                <m:nor/>
                <m:sty m:val="p"/>
              </m:rPr>
              <m:t>SA</m:t>
            </m:r>
          </m:sub>
        </m:sSub>
        <m:r>
          <m:t>​</m:t>
        </m:r>
        <m:r>
          <m:rPr>
            <m:sty m:val="p"/>
          </m:rPr>
          <m:t>=</m:t>
        </m:r>
        <m:r>
          <m:t>​</m:t>
        </m:r>
        <m:r>
          <m:t>0.15</m:t>
        </m:r>
      </m:oMath>
      <w:r>
        <w:rPr>
          <w:b/>
          <w:i/>
        </w:rPr>
        <w:t>Table S19.</w:t>
      </w:r>
      <w:r>
        <w:rPr>
          <w:b w:val="0"/>
          <w:i/>
        </w:rPr>
        <w:t xml:space="preserve"> </w:t>
      </w:r>
      <w:r>
        <w:rPr>
          <w:b w:val="0"/>
          <w:i/>
        </w:rPr>
        <w:t>Multi-seed MOSES-style metrics for the four SA-axis conditions (3 seeds each, 10 000 SMILES per seed). Validity is exactly 1.000 (zero variance) across all seeds and conditions. Values reported as mean  std. SA-axis conditions: C0 = unguided; C1 = viab-only (); C2 = viab+sens (); C3 = viab+sens+SA ().</w:t>
      </w:r>
    </w:p>
    <w:tbl>
      <w:tblPr>
        <w:tblStyle w:val="Table"/>
        <w:tblW w:type="pct" w:w="5000"/>
        <w:jc w:val="center"/>
        <w:tblLook w:firstRow="1" w:lastRow="0" w:firstColumn="0" w:lastColumn="0" w:noHBand="0" w:noVBand="0" w:val="0020"/>
        <w:tblCaption w:val="Table S19.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BodyText"/>
        <w:spacing w:before="240"/>
        <w:jc w:val="both"/>
        <w:keepNext w:val="0"/>
        <w:keepLines w:val="0"/>
        <w:widowControl w:val="1"/>
      </w:pPr>
      <w:r>
        <w:t xml:space="preserve">Five readings of this table (Table S18):</w:t>
      </w:r>
    </w:p>
    <w:p>
      <w:pPr>
        <w:pStyle w:val="Compact"/>
        <w:numPr>
          <w:ilvl w:val="0"/>
          <w:numId w:val="1003"/>
        </w:numPr>
        <w:ind w:left="360" w:hanging="259"/>
        <w:jc w:val="both"/>
        <w:keepNext w:val="0"/>
        <w:keepLines w:val="0"/>
        <w:widowControl w:val="1"/>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numPr>
          <w:ilvl w:val="0"/>
          <w:numId w:val="1003"/>
        </w:numPr>
        <w:ind w:left="360" w:hanging="259"/>
        <w:jc w:val="both"/>
        <w:keepNext w:val="0"/>
        <w:keepLines w:val="0"/>
        <w:widowControl w:val="1"/>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numPr>
          <w:ilvl w:val="0"/>
          <w:numId w:val="1003"/>
        </w:numPr>
        <w:ind w:left="360" w:hanging="259"/>
        <w:jc w:val="both"/>
        <w:keepNext w:val="0"/>
        <w:keepLines w:val="0"/>
        <w:widowControl w:val="1"/>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numPr>
          <w:ilvl w:val="0"/>
          <w:numId w:val="1003"/>
        </w:numPr>
        <w:ind w:left="360" w:hanging="259"/>
        <w:jc w:val="both"/>
        <w:keepNext w:val="0"/>
        <w:keepLines w:val="0"/>
        <w:widowControl w:val="1"/>
      </w:pPr>
      <w:r>
        <w:rPr>
          <w:b/>
          <w:bCs/>
        </w:rPr>
        <w:t xml:space="preserve">Bemis–Murcko scaffold count varies 2×</w:t>
      </w:r>
      <w:r>
        <w:t xml:space="preserve"> </w:t>
      </w:r>
      <w:r>
        <w:t xml:space="preserve">across conditions (729 to 1621 over the full 10k pool). Hazard-only (C3) produces the most scaffold diversity (1621), unguided (C0) is intermediate (1265), and the multi-head conditions are the most focused (viab+sens C1 at 729, viab+sens+hazard C2 at 755).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numPr>
          <w:ilvl w:val="0"/>
          <w:numId w:val="1003"/>
        </w:numPr>
        <w:ind w:left="360" w:hanging="259"/>
        <w:jc w:val="both"/>
        <w:keepNext w:val="0"/>
        <w:keepLines w:val="0"/>
        <w:widowControl w:val="1"/>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FirstParagraph"/>
        <w:jc w:val="both"/>
        <w:keepNext w:val="0"/>
        <w:keepLines w:val="0"/>
        <w:widowControl w:val="1"/>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ImageCaption"/>
        <w:spacing w:before="80" w:after="120" w:line="240" w:lineRule="auto"/>
        <w:jc w:val="center"/>
        <w:keepNext w:val="0"/>
        <w:keepLines/>
        <w:widowControl w:val="1"/>
      </w:pPr>
      <m:oMath>
        <m:r>
          <m:rPr>
            <m:sty m:val="p"/>
          </m:rPr>
          <m:t>±</m:t>
        </m:r>
      </m:oMath>
      <w:r>
        <w:rPr>
          <w:b/>
          <w:i/>
        </w:rPr>
        <w:t>Table S20.</w:t>
      </w:r>
      <w:r>
        <w:rPr>
          <w:b w:val="0"/>
          <w:i/>
        </w:rPr>
        <w:t xml:space="preserve"> </w:t>
      </w:r>
      <w:r>
        <w:rPr>
          <w:b w:val="0"/>
          <w:i/>
        </w:rPr>
        <w:t>Fréchet ChemNet Distance (FCD) of each method/condition's 10 000-SMILES output against a 5 000-row sample of the labelled master corpus, mean  std across seeds. Lower FCD means the generated chemistry is distributionally closer to the labelled master. The SMILES-LSTM no-diffusion baseline (FCD = 0.52) is distributionally indistinguishable from the labelled master, but its top-1 Pareto-reranker composite is 0.083 (main-text Table 2):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S20.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main-text Table 2):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BodyText"/>
        <w:spacing w:before="240"/>
        <w:jc w:val="both"/>
        <w:keepNext w:val="0"/>
        <w:keepLines w:val="0"/>
        <w:widowControl w:val="1"/>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bookmarkEnd w:id="30"/>
    <w:bookmarkStart w:id="31" w:name="d.12-hazard-head-post-hoc-filtering"/>
    <w:p>
      <w:pPr>
        <w:pStyle w:val="Heading4"/>
        <w:keepNext/>
        <w:keepLines/>
        <w:widowControl w:val="1"/>
      </w:pPr>
      <w:r>
        <w:t xml:space="preserve">D.12 Hazard-head post-hoc filtering</w:t>
      </w:r>
    </w:p>
    <w:p>
      <w:pPr>
        <w:pStyle w:val="FirstParagraph"/>
        <w:jc w:val="both"/>
        <w:keepNext w:val="0"/>
        <w:keepLines w:val="0"/>
        <w:widowControl w:val="1"/>
      </w:pPr>
      <w:r>
        <w:t xml:space="preserve">Applying Section 4.10 hazard-head-as-rerank-weight to the merged top-100, scored against the chemist-curated SMARTS catalog, gives the following alignment:</w:t>
      </w:r>
    </w:p>
    <w:p>
      <w:pPr>
        <w:pStyle w:val="ImageCaption"/>
        <w:spacing w:before="80" w:after="120" w:line="240" w:lineRule="auto"/>
        <w:jc w:val="center"/>
        <w:keepNext w:val="0"/>
        <w:keepLines/>
        <w:widowControl w:val="1"/>
      </w:pPr>
      <m:oMath>
        <m:sSub>
          <m:e>
            <m:r>
              <m:t>P</m:t>
            </m:r>
          </m:e>
          <m:sub>
            <m:r>
              <m:rPr>
                <m:nor/>
                <m:sty m:val="p"/>
              </m:rPr>
              <m:t>hazard</m:t>
            </m:r>
          </m:sub>
        </m:sSub>
        <m:r>
          <m:rPr>
            <m:sty m:val="p"/>
          </m:rPr>
          <m:t>&gt;</m:t>
        </m:r>
        <m:r>
          <m:t>0.5</m:t>
        </m:r>
      </m:oMath>
      <w:r>
        <w:rPr>
          <w:b/>
          <w:i/>
        </w:rPr>
        <w:t>Table S21.</w:t>
      </w:r>
      <w:r>
        <w:rPr>
          <w:b w:val="0"/>
          <w:i/>
        </w:rPr>
        <w:t xml:space="preserve"> </w:t>
      </w:r>
      <w:r>
        <w:rPr>
          <w:b w:val="0"/>
          <w:i/>
        </w:rPr>
        <w:t>Alignment of the hazard-head sigmoid output with the chemist-curated SMARTS reject catalog on the merged top-100. Rows: SMARTS-only reject count; hazard-head soft reject () count; intersection (perfect recall: every SMARTS reject is also flagged by the head); hazard-head-only flags (head catches motifs the rule did not cover); both pass (clean by both gates).</w:t>
      </w:r>
    </w:p>
    <w:tbl>
      <w:tblPr>
        <w:tblStyle w:val="Table"/>
        <w:tblW w:type="pct" w:w="5000"/>
        <w:jc w:val="center"/>
        <w:tblLook w:firstRow="1" w:lastRow="0" w:firstColumn="0" w:lastColumn="0" w:noHBand="0" w:noVBand="0" w:val="0020"/>
        <w:tblCaption w:val="Table S21.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 no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BodyText"/>
        <w:spacing w:before="240"/>
        <w:jc w:val="both"/>
        <w:keepNext w:val="0"/>
        <w:keepLines w:val="0"/>
        <w:widowControl w:val="1"/>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 not cover but which are similar in latent space to known hazardous chemistry) and false positives (over-conservative latent-neighborhood matches: e.g., the published PubChem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BodyText"/>
        <w:jc w:val="both"/>
        <w:keepNext w:val="0"/>
        <w:keepLines w:val="0"/>
        <w:widowControl w:val="1"/>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 not anticipate).</w:t>
      </w:r>
    </w:p>
    <w:bookmarkEnd w:id="31"/>
    <w:bookmarkStart w:id="32" w:name="d.13-e2-filter-scope-note"/>
    <w:p>
      <w:pPr>
        <w:pStyle w:val="Heading4"/>
        <w:keepNext/>
        <w:keepLines/>
        <w:widowControl w:val="1"/>
      </w:pPr>
      <w:r>
        <w:t xml:space="preserve">D.13 E2 filter-scope note</w:t>
      </w:r>
    </w:p>
    <w:p>
      <w:pPr>
        <w:pStyle w:val="FirstParagraph"/>
        <w:jc w:val="both"/>
        <w:keepNext w:val="0"/>
        <w:keepLines w:val="0"/>
        <w:widowControl w:val="1"/>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bookmarkEnd w:id="32"/>
    <w:bookmarkStart w:id="33" w:name="d.14-aizynthfinder-route-detail-for-l1"/>
    <w:p>
      <w:pPr>
        <w:pStyle w:val="Heading4"/>
        <w:keepNext/>
        <w:keepLines/>
        <w:widowControl w:val="1"/>
      </w:pPr>
      <w:r>
        <w:t xml:space="preserve">D.14 AiZynthFinder route detail for L1</w:t>
      </w:r>
    </w:p>
    <w:p>
      <w:pPr>
        <w:pStyle w:val="FirstParagraph"/>
        <w:jc w:val="both"/>
        <w:keepNext w:val="0"/>
        <w:keepLines w:val="0"/>
        <w:widowControl w:val="1"/>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BodyText"/>
        <w:jc w:val="both"/>
        <w:keepNext w:val="0"/>
        <w:keepLines w:val="0"/>
        <w:widowControl w:val="1"/>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6">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BodyText"/>
        <w:jc w:val="both"/>
        <w:keepNext w:val="0"/>
        <w:keepLines w:val="0"/>
        <w:widowControl w:val="1"/>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BodyText"/>
        <w:jc w:val="both"/>
        <w:keepNext w:val="0"/>
        <w:keepLines w:val="0"/>
        <w:widowControl w:val="1"/>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BodyText"/>
        <w:jc w:val="both"/>
        <w:keepNext w:val="0"/>
        <w:keepLines w:val="0"/>
        <w:widowControl w:val="1"/>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Heading3"/>
        <w:keepNext/>
        <w:keepLines/>
        <w:widowControl w:val="1"/>
      </w:pPr>
      <w:r>
        <w:t xml:space="preserve">E. Baseline-method example outputs</w:t>
      </w:r>
    </w:p>
    <w:p>
      <w:pPr>
        <w:pStyle w:val="FirstParagraph"/>
        <w:jc w:val="both"/>
        <w:keepNext w:val="0"/>
        <w:keepLines w:val="0"/>
        <w:widowControl w:val="1"/>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ImageCaption"/>
        <w:spacing w:before="80" w:after="120" w:line="240" w:lineRule="auto"/>
        <w:jc w:val="center"/>
        <w:keepNext w:val="0"/>
        <w:keepLines/>
        <w:widowControl w:val="1"/>
      </w:pPr>
      <w:r>
        <w:rPr>
          <w:b/>
          <w:i/>
        </w:rPr>
        <w:t>Table S22.</w:t>
      </w:r>
      <w:r>
        <w:rPr>
          <w:b w:val="0"/>
          <w:i/>
        </w:rPr>
        <w:t xml:space="preserve"> </w:t>
      </w:r>
      <w:r>
        <w:rPr>
          <w:b w:val="0"/>
          <w:i/>
        </w:rPr>
        <w:t>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S22.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ImageCaption"/>
        <w:spacing w:before="80" w:after="120" w:line="240" w:lineRule="auto"/>
        <w:jc w:val="center"/>
        <w:keepNext w:val="0"/>
        <w:keepLines/>
        <w:widowControl w:val="1"/>
      </w:pPr>
      <w:r>
        <w:rPr>
          <w:b/>
          <w:i/>
        </w:rPr>
        <w:t>Table S23.</w:t>
      </w:r>
      <w:r>
        <w:rPr>
          <w:b w:val="0"/>
          <w:i/>
        </w:rPr>
        <w:t xml:space="preserve"> </w:t>
      </w:r>
      <w:r>
        <w:rPr>
          <w:b w:val="0"/>
          <w:i/>
        </w:rPr>
        <w:t>Ten most-novel CHNO-neutral candidates from the SMILES-LSTM pool. Columns as Table S22.</w:t>
      </w:r>
    </w:p>
    <w:tbl>
      <w:tblPr>
        <w:tblStyle w:val="Table"/>
        <w:tblW w:type="pct" w:w="5000"/>
        <w:jc w:val="center"/>
        <w:tblLook w:firstRow="1" w:lastRow="0" w:firstColumn="0" w:lastColumn="0" w:noHBand="0" w:noVBand="0" w:val="0020"/>
        <w:tblCaption w:val="Table S23. Ten most-novel CHNO-neutral candidates from the SMILES-LSTM pool. Columns as Table S22."/>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Heading3"/>
        <w:keepNext/>
        <w:keepLines/>
        <w:widowControl w:val="1"/>
      </w:pPr>
      <w:r>
        <w:t xml:space="preserve">F. Detailed ablations (migrated from Section 2.6)</w:t>
      </w:r>
    </w:p>
    <w:p>
      <w:pPr>
        <w:pStyle w:val="FirstParagraph"/>
        <w:jc w:val="both"/>
        <w:keepNext w:val="0"/>
        <w:keepLines w:val="0"/>
        <w:widowControl w:val="1"/>
      </w:pPr>
      <w:r>
        <w:t xml:space="preserve">This appendix collects the full prose, sub-tables, and figures for each ablation summarised in Supplementary Table S35. The body Section 2.6 carries only the headline numbers; this appendix carries the per-condition detail.</w:t>
      </w:r>
    </w:p>
    <w:bookmarkStart w:id="36" w:name="X7f46fb8cf73c908041506efc0a6b47d5c886f1f"/>
    <w:p>
      <w:pPr>
        <w:pStyle w:val="Heading4"/>
        <w:keepNext/>
        <w:keepLines/>
        <w:widowControl w:val="1"/>
      </w:pPr>
      <w:r>
        <w:t xml:space="preserve">F.1 Self-distillation hard-negative budget (137 vs 918)</w:t>
      </w:r>
    </w:p>
    <w:p>
      <w:pPr>
        <w:pStyle w:val="FirstParagraph"/>
        <w:jc w:val="both"/>
        <w:keepNext w:val="0"/>
        <w:keepLines w:val="0"/>
        <w:widowControl w:val="1"/>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probe of 7 anchors and 5 gaming molecules (RDX, HMX, TNT, FOX-7, PETN, TATB, NTO plus five known gaming molecules: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Supplementary Section D.9; the SC-gradient sweep and the heuristic-vs-literature sensitivity-head ablation (Supplementary Section B.2) are in Supplementary Section D.6.</w:t>
      </w:r>
    </w:p>
    <w:p>
      <w:pPr>
        <w:pStyle w:val="ImageCaption"/>
        <w:spacing w:before="80" w:after="120" w:line="240" w:lineRule="auto"/>
        <w:jc w:val="center"/>
        <w:keepNext w:val="0"/>
        <w:keepLines/>
        <w:widowControl w:val="1"/>
      </w:pPr>
      <w:r>
        <w:rPr>
          <w:b/>
          <w:i/>
        </w:rPr>
        <w:t>Table S24.</w:t>
      </w:r>
      <w:r>
        <w:rPr>
          <w:b w:val="0"/>
          <w:i/>
        </w:rPr>
        <w:t xml:space="preserve"> </w:t>
      </w:r>
      <w:r>
        <w:rPr>
          <w:b w:val="0"/>
          <w:i/>
        </w:rPr>
        <w:t>Hard-negative budget effect on the held-out probe of 7 anchors and 5 gaming molecules (numbers from Supplementary Section D.9). Anchor min and gaming-molecule max are the per-set extrema of the viability-head output; the worst-offender column tracks the gem-tetranitro gaming molecule across budgets.</w:t>
      </w:r>
    </w:p>
    <w:tbl>
      <w:tblPr>
        <w:tblStyle w:val="Table"/>
        <w:tblW w:type="pct" w:w="5000"/>
        <w:jc w:val="center"/>
        <w:tblLook w:firstRow="1" w:lastRow="0" w:firstColumn="0" w:lastColumn="0" w:noHBand="0" w:noVBand="0" w:val="0020"/>
        <w:tblCaption w:val="Table S24. Hard-negative budget effect on the held-out probe of 7 anchors and 5 gaming molecules (numbers from Supplementary Section D.9). Anchor min and gaming-molecule max are the per-set extrema of the viability-head output; the worst-offender column tracks the gem-tetranitro gaming molecule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Gaming-molecule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Heading4"/>
        <w:keepNext/>
        <w:keepLines/>
        <w:widowControl w:val="1"/>
      </w:pPr>
      <w:r>
        <w:t xml:space="preserve">F.2 Diffusion + guidance prior vs Gaussian-latent control</w:t>
      </w:r>
    </w:p>
    <w:p>
      <w:pPr>
        <w:pStyle w:val="FirstParagraph"/>
        <w:jc w:val="both"/>
        <w:keepNext w:val="0"/>
        <w:keepLines w:val="0"/>
        <w:widowControl w:val="1"/>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BodyText"/>
        <w:jc w:val="both"/>
        <w:keepNext w:val="0"/>
        <w:keepLines w:val="0"/>
        <w:widowControl w:val="1"/>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Stage-1+2 keep-rate,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Stage-1+2 keep-rate reversal confirms that the diffusion prior's contribution is not in generating chemically plausible molecules (a Gaussian prior does that easily) but in concentrating the distribution on the high-performance tail.</w:t>
      </w:r>
    </w:p>
    <w:p>
      <w:pPr>
        <w:pStyle w:val="ImageCaption"/>
        <w:spacing w:before="80" w:after="120" w:line="240" w:lineRule="auto"/>
        <w:jc w:val="center"/>
        <w:keepNext w:val="0"/>
        <w:keepLines/>
        <w:widowControl w:val="1"/>
      </w:pPr>
      <w:r>
        <w:rPr>
          <w:b/>
          <w:i/>
        </w:rPr>
        <w:t>Table S25.</w:t>
      </w:r>
      <w:r>
        <w:rPr>
          <w:b w:val="0"/>
          <w:i/>
        </w:rPr>
        <w:t xml:space="preserve"> </w:t>
      </w:r>
      <w:r>
        <w:rPr>
          <w:b w:val="0"/>
          <w:i/>
        </w:rPr>
        <w:t>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S25.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 s</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full-filter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Heading4"/>
        <w:keepNext/>
        <w:keepLines/>
        <w:widowControl w:val="1"/>
      </w:pPr>
      <w:r>
        <w:t xml:space="preserve">F.3 Multi-head guidance vs unguided at matched compute</w:t>
      </w:r>
    </w:p>
    <w:p>
      <w:pPr>
        <w:pStyle w:val="FirstParagraph"/>
        <w:jc w:val="both"/>
        <w:keepNext w:val="0"/>
        <w:keepLines w:val="0"/>
        <w:widowControl w:val="1"/>
      </w:pPr>
      <w:r>
        <w:t xml:space="preserve">At pool=10 000 each, with identical denoiser and only the sampler differing, multi-head guidance lifts max composite from 0.64 to 0.69, top-1</w:t>
      </w:r>
      <w:r>
        <w:t xml:space="preserve"> </w:t>
      </w:r>
      <m:oMath>
        <m:r>
          <m:t>D</m:t>
        </m:r>
      </m:oMath>
      <w:r>
        <w:t xml:space="preserve"> </w:t>
      </w:r>
      <w:r>
        <w:t xml:space="preserve">essentially unchanged (9.44–9.51 km s</w:t>
      </w:r>
      <w:r>
        <w:rPr>
          <w:vertAlign w:val="superscript"/>
        </w:rPr>
        <w:t xml:space="preserve">−1</w:t>
      </w:r>
      <w:r>
        <w:t xml:space="preserve">, pool 10k), and top-1</w:t>
      </w:r>
      <w:r>
        <w:t xml:space="preserve"> </w:t>
      </w:r>
      <m:oMath>
        <m:r>
          <m:t>P</m:t>
        </m:r>
      </m:oMath>
      <w:r>
        <w:t xml:space="preserve"> </w:t>
      </w:r>
      <w:r>
        <w:t xml:space="preserve">from 34.0 to 38.8 GPa (Figure S4).</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S4.</w:t>
      </w:r>
      <w:r>
        <w:rPr>
          <w:b w:val="0"/>
          <w:i/>
        </w:rPr>
        <w:t xml:space="preserve"> </w:t>
      </w:r>
      <w:r>
        <w:rPr>
          <w:b w:val="0"/>
          <w:i/>
        </w:rPr>
        <w:t>Effect of multi-head score-model guidance on the composite-score distribution at matched compute (pool = 10 000 each, post hard-gate filter). The denoiser is identical in both runs; only the sampler differs.</w:t>
      </w:r>
    </w:p>
    <w:p>
      <w:pPr>
        <w:pStyle w:val="BodyText"/>
        <w:jc w:val="both"/>
        <w:keepNext w:val="0"/>
        <w:keepLines w:val="0"/>
        <w:widowControl w:val="1"/>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ImageCaption"/>
        <w:spacing w:before="80" w:after="120" w:line="240" w:lineRule="auto"/>
        <w:jc w:val="center"/>
        <w:keepNext w:val="0"/>
        <w:keepLines/>
        <w:widowControl w:val="1"/>
      </w:pPr>
      <w:r>
        <w:rPr>
          <w:b/>
          <w:i/>
        </w:rPr>
        <w:t>Table S26.</w:t>
      </w:r>
      <w:r>
        <w:rPr>
          <w:b w:val="0"/>
          <w:i/>
        </w:rPr>
        <w:t xml:space="preserve"> </w:t>
      </w:r>
      <w:r>
        <w:rPr>
          <w:b w:val="0"/>
          <w:i/>
        </w:rPr>
        <w:t>Per-condition top-1 candidates from the four-way head-to-head at pool=40 000 single-seed.</w:t>
      </w:r>
    </w:p>
    <w:tbl>
      <w:tblPr>
        <w:tblStyle w:val="Table"/>
        <w:tblW w:type="pct" w:w="5000"/>
        <w:jc w:val="center"/>
        <w:tblLook w:firstRow="1" w:lastRow="0" w:firstColumn="0" w:lastColumn="0" w:noHBand="0" w:noVBand="0" w:val="0020"/>
        <w:tblCaption w:val="Table S26.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 s</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BodyText"/>
        <w:spacing w:before="240"/>
        <w:jc w:val="both"/>
        <w:keepNext w:val="0"/>
        <w:keepLines w:val="0"/>
        <w:widowControl w:val="1"/>
      </w:pPr>
      <w:r>
        <w:t xml:space="preserve">Top-1 detonation velocity is nearly invariant across the four conditions (9.44–9.53 km s</w:t>
      </w:r>
      <w:r>
        <w:rPr>
          <w:vertAlign w:val="superscript"/>
        </w:rPr>
        <w:t xml:space="preserve">−1</w:t>
      </w:r>
      <w:r>
        <w:t xml:space="preserve">, pool 40k);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bookmarkEnd w:id="41"/>
    <w:bookmarkStart w:id="42" w:name="X045ac786cfd46cd5debcb1e5814f1bd5b7d8373"/>
    <w:p>
      <w:pPr>
        <w:pStyle w:val="Heading4"/>
        <w:keepNext/>
        <w:keepLines/>
        <w:widowControl w:val="1"/>
      </w:pPr>
      <w:r>
        <w:t xml:space="preserve">F.4 Per-head ablation (hazard, SA, seed-variance)</w:t>
      </w:r>
    </w:p>
    <w:p>
      <w:pPr>
        <w:pStyle w:val="FirstParagraph"/>
        <w:jc w:val="both"/>
        <w:keepNext w:val="0"/>
        <w:keepLines w:val="0"/>
        <w:widowControl w:val="1"/>
      </w:pPr>
      <w:r>
        <w:rPr>
          <w:b/>
          <w:bCs/>
        </w:rPr>
        <w:t xml:space="preserve">Why a separate SA head and what it costs.</w:t>
      </w:r>
      <w:r>
        <w:t xml:space="preserve"> </w:t>
      </w:r>
      <w:r>
        <w:t xml:space="preserve">A fifth score-model head regresses RDKit's synthetic-accessibility score (Ertl 2009); the matrix below quantifies the domain-transfer penalty of applying a drug-domain accessibility prior as a sample-time gradient in the energetic-materials regime, and fixes the production setting</w:t>
      </w:r>
      <w:r>
        <w:t xml:space="preserve"> </w:t>
      </w:r>
      <m:oMath>
        <m:sSub>
          <m:e>
            <m:r>
              <m:t>s</m:t>
            </m:r>
          </m:e>
          <m:sub>
            <m:r>
              <m:rPr>
                <m:nor/>
                <m:sty m:val="p"/>
              </m:rPr>
              <m:t>SA</m:t>
            </m:r>
          </m:sub>
        </m:sSub>
        <m:r>
          <m:rPr>
            <m:sty m:val="p"/>
          </m:rPr>
          <m:t>=</m:t>
        </m:r>
        <m:r>
          <m:t>0</m:t>
        </m:r>
      </m:oMath>
      <w:r>
        <w:t xml:space="preserv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BodyText"/>
        <w:jc w:val="both"/>
        <w:keepNext w:val="0"/>
        <w:keepLines w:val="0"/>
        <w:widowControl w:val="1"/>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ImageCaption"/>
        <w:spacing w:before="80" w:after="120" w:line="240" w:lineRule="auto"/>
        <w:jc w:val="center"/>
        <w:keepNext w:val="0"/>
        <w:keepLines/>
        <w:widowControl w:val="1"/>
      </w:pPr>
      <w:r>
        <w:rPr>
          <w:b/>
          <w:i/>
        </w:rPr>
        <w:t>Table S27.</w:t>
      </w:r>
      <w:r>
        <w:rPr>
          <w:b w:val="0"/>
          <w:i/>
        </w:rPr>
        <w:t xml:space="preserve"> </w:t>
      </w:r>
      <w:r>
        <w:rPr>
          <w:b w:val="0"/>
          <w:i/>
        </w:rPr>
        <w:t>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S27.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 s</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 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BodyText"/>
        <w:spacing w:before="240"/>
        <w:jc w:val="both"/>
        <w:keepNext w:val="0"/>
        <w:keepLines w:val="0"/>
        <w:widowControl w:val="1"/>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BodyText"/>
        <w:jc w:val="both"/>
        <w:keepNext w:val="0"/>
        <w:keepLines w:val="0"/>
        <w:widowControl w:val="1"/>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bookmarkEnd w:id="42"/>
    <w:bookmarkStart w:id="43" w:name="f.5-m7-five-lane-100k-pool-run"/>
    <w:p>
      <w:pPr>
        <w:pStyle w:val="Heading4"/>
        <w:keepNext/>
        <w:keepLines/>
        <w:widowControl w:val="1"/>
      </w:pPr>
      <w:r>
        <w:t xml:space="preserve">F.5 M7 five-lane 100k-pool run</w:t>
      </w:r>
    </w:p>
    <w:p>
      <w:pPr>
        <w:pStyle w:val="FirstParagraph"/>
        <w:jc w:val="both"/>
        <w:keepNext w:val="0"/>
        <w:keepLines w:val="0"/>
        <w:widowControl w:val="1"/>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ImageCaption"/>
        <w:spacing w:before="80" w:after="120" w:line="240" w:lineRule="auto"/>
        <w:jc w:val="center"/>
        <w:keepNext w:val="0"/>
        <w:keepLines/>
        <w:widowControl w:val="1"/>
      </w:pPr>
      <w:r>
        <w:rPr>
          <w:b/>
          <w:i/>
        </w:rPr>
        <w:t>Table S28.</w:t>
      </w:r>
      <w:r>
        <w:rPr>
          <w:b w:val="0"/>
          <w:i/>
        </w:rPr>
        <w:t xml:space="preserve"> </w:t>
      </w:r>
      <w:r>
        <w:rPr>
          <w:b w:val="0"/>
          <w:i/>
        </w:rPr>
        <w:t>M7 five-lane 100k pool-fusion results vs the Supplementary Section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S28. M7 five-lane 100k pool-fusion results vs the Supplementary Section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 s</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 s</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 s</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(Supplementary Section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BodyText"/>
        <w:spacing w:before="240"/>
        <w:jc w:val="both"/>
        <w:keepNext w:val="0"/>
        <w:keepLines w:val="0"/>
        <w:widowControl w:val="1"/>
      </w:pPr>
      <w:r>
        <w:t xml:space="preserve">The five-lane fusion nearly doubles the full-filter yield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bookmarkEnd w:id="43"/>
    <w:bookmarkStart w:id="44" w:name="Xbb5eec533b9640cf8a759e333f6d84316491854"/>
    <w:p>
      <w:pPr>
        <w:pStyle w:val="Heading4"/>
        <w:keepNext/>
        <w:keepLines/>
        <w:widowControl w:val="1"/>
      </w:pPr>
      <w:r>
        <w:t xml:space="preserve">F.6 Tier-gate ablation (perf head trained without label-trust masking)</w:t>
      </w:r>
    </w:p>
    <w:p>
      <w:pPr>
        <w:pStyle w:val="FirstParagraph"/>
        <w:jc w:val="both"/>
        <w:keepNext w:val="0"/>
        <w:keepLines w:val="0"/>
        <w:widowControl w:val="1"/>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ImageCaption"/>
        <w:spacing w:before="80" w:after="120" w:line="240" w:lineRule="auto"/>
        <w:jc w:val="center"/>
        <w:keepNext w:val="0"/>
        <w:keepLines/>
        <w:widowControl w:val="1"/>
      </w:pPr>
      <w:r>
        <w:rPr>
          <w:b/>
          <w:i/>
        </w:rPr>
        <w:t>Table S29.</w:t>
      </w:r>
      <w:r>
        <w:rPr>
          <w:b w:val="0"/>
          <w:i/>
        </w:rPr>
        <w:t xml:space="preserve"> </w:t>
      </w:r>
      <w:r>
        <w:rPr>
          <w:b w:val="0"/>
          <w:i/>
        </w:rPr>
        <w:t>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S29.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Section 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Supplementary Section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BodyText"/>
        <w:spacing w:before="240"/>
        <w:jc w:val="both"/>
        <w:keepNext w:val="0"/>
        <w:keepLines w:val="0"/>
        <w:widowControl w:val="1"/>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the 4.6 % Stage-1+2 keep-rate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bookmarkEnd w:id="44"/>
    <w:bookmarkEnd w:id="45"/>
    <w:bookmarkEnd w:id="46"/>
    <w:bookmarkStart w:id="126" w:name="sec-si-note"/>
    <w:p>
      <w:pPr>
        <w:pStyle w:val="Heading2"/>
        <w:keepNext/>
        <w:keepLines/>
        <w:widowControl w:val="1"/>
      </w:pPr>
      <w:r>
        <w:t xml:space="preserve">Supplementary Note and migrated display items</w:t>
      </w:r>
    </w:p>
    <w:bookmarkStart w:id="55" w:name="sec-si-related"/>
    <w:p>
      <w:pPr>
        <w:pStyle w:val="Heading3"/>
        <w:keepNext/>
        <w:keepLines/>
        <w:widowControl w:val="1"/>
      </w:pPr>
      <w:r>
        <w:t xml:space="preserve">Supplementary Note: Extended Related Work</w:t>
      </w:r>
    </w:p>
    <w:p>
      <w:pPr>
        <w:pStyle w:val="FirstParagraph"/>
        <w:jc w:val="both"/>
        <w:keepNext w:val="0"/>
        <w:keepLines w:val="0"/>
        <w:widowControl w:val="1"/>
      </w:pPr>
      <w:r>
        <w:t xml:space="preserve">DGLD draws on, and departs from, several strands of prior work, reviewed below.</w:t>
      </w:r>
    </w:p>
    <w:p>
      <w:pPr>
        <w:pStyle w:val="BodyText"/>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47" w:name="n.1-molecular-generative-models"/>
    <w:p>
      <w:pPr>
        <w:pStyle w:val="Heading4"/>
        <w:keepNext/>
        <w:keepLines/>
        <w:widowControl w:val="1"/>
      </w:pPr>
      <w:r>
        <w:t xml:space="preserve">N.1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[19]</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[20]</w:t>
        </w:r>
      </w:hyperlink>
      <w:r>
        <w:t xml:space="preserve"> </w:t>
      </w:r>
      <w:r>
        <w:t xml:space="preserve">moved the latent up to fragment graphs to guarantee chemical validity; CDDD</w:t>
      </w:r>
      <w:r>
        <w:t xml:space="preserve"> </w:t>
      </w:r>
      <w:hyperlink w:anchor="ref-winter2019cddd">
        <w:r>
          <w:rPr>
            <w:rStyle w:val="Hyperlink"/>
          </w:rPr>
          <w:t xml:space="preserve">[21]</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[22]</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[23]</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[24]</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[25]</w:t>
        </w:r>
      </w:hyperlink>
      <w:r>
        <w:t xml:space="preserve"> </w:t>
      </w:r>
      <w:r>
        <w:t xml:space="preserve">trains a Perceiver-encoder</w:t>
      </w:r>
      <w:r>
        <w:t xml:space="preserve"> </w:t>
      </w:r>
      <w:hyperlink w:anchor="ref-jaegle2021perceiver">
        <w:r>
          <w:rPr>
            <w:rStyle w:val="Hyperlink"/>
          </w:rPr>
          <w:t xml:space="preserve">[26]</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[27]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[28]</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[29]</w:t>
        </w:r>
      </w:hyperlink>
      <w:r>
        <w:t xml:space="preserve"> </w:t>
      </w:r>
      <w:r>
        <w:t xml:space="preserve">combined an RNN prior with Monte-Carlo tree search; MolGPT</w:t>
      </w:r>
      <w:r>
        <w:t xml:space="preserve"> </w:t>
      </w:r>
      <w:hyperlink w:anchor="ref-bagal2022molgpt">
        <w:r>
          <w:rPr>
            <w:rStyle w:val="Hyperlink"/>
          </w:rPr>
          <w:t xml:space="preserve">[30]</w:t>
        </w:r>
      </w:hyperlink>
      <w:r>
        <w:t xml:space="preserve"> </w:t>
      </w:r>
      <w:r>
        <w:t xml:space="preserve">applied a GPT-style decoder with property tokens prepended for control. MoLFormer-XL</w:t>
      </w:r>
      <w:r>
        <w:t xml:space="preserve"> </w:t>
      </w:r>
      <w:hyperlink w:anchor="ref-ross2022molformer">
        <w:r>
          <w:rPr>
            <w:rStyle w:val="Hyperlink"/>
          </w:rPr>
          <w:t xml:space="preserve">[31]</w:t>
        </w:r>
      </w:hyperlink>
      <w:r>
        <w:t xml:space="preserve"> </w:t>
      </w:r>
      <w:r>
        <w:t xml:space="preserve">and Chemformer</w:t>
      </w:r>
      <w:r>
        <w:t xml:space="preserve"> </w:t>
      </w:r>
      <w:hyperlink w:anchor="ref-irwin2022chemformer">
        <w:r>
          <w:rPr>
            <w:rStyle w:val="Hyperlink"/>
          </w:rPr>
          <w:t xml:space="preserve">[32]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[33]</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[34]</w:t>
        </w:r>
      </w:hyperlink>
      <w:r>
        <w:t xml:space="preserve"> </w:t>
      </w:r>
      <w:r>
        <w:t xml:space="preserve">performs discrete denoising diffusion directly on molecular graphs, achieving exact validity at the cost of having to re-introduce property conditioning via a separate guidance term.</w:t>
      </w:r>
    </w:p>
    <w:bookmarkEnd w:id="47"/>
    <w:bookmarkStart w:id="48" w:name="Xe3d80867560201411fab4430e97413282e0e8fc"/>
    <w:p>
      <w:pPr>
        <w:pStyle w:val="Heading4"/>
        <w:keepNext/>
        <w:keepLines/>
        <w:widowControl w:val="1"/>
      </w:pPr>
      <w:r>
        <w:t xml:space="preserve">N.2 Diffusion models and classifier guidance</w:t>
      </w:r>
    </w:p>
    <w:p>
      <w:pPr>
        <w:pStyle w:val="FirstParagraph"/>
        <w:jc w:val="both"/>
        <w:keepNext w:val="0"/>
        <w:keepLines w:val="0"/>
        <w:widowControl w:val="1"/>
      </w:pPr>
      <w:r>
        <w:t xml:space="preserve">Denoising diffusion probabilistic models (DDPM)</w:t>
      </w:r>
      <w:r>
        <w:t xml:space="preserve"> </w:t>
      </w:r>
      <w:hyperlink w:anchor="ref-ho2020ddpm">
        <w:r>
          <w:rPr>
            <w:rStyle w:val="Hyperlink"/>
          </w:rPr>
          <w:t xml:space="preserve">[35]</w:t>
        </w:r>
      </w:hyperlink>
      <w:r>
        <w:t xml:space="preserve"> </w:t>
      </w:r>
      <w:r>
        <w:t xml:space="preserve">and the score-based formulation of Song and Ermon</w:t>
      </w:r>
      <w:r>
        <w:t xml:space="preserve"> </w:t>
      </w:r>
      <w:hyperlink w:anchor="ref-song2019score">
        <w:r>
          <w:rPr>
            <w:rStyle w:val="Hyperlink"/>
          </w:rPr>
          <w:t xml:space="preserve">[36]</w:t>
        </w:r>
      </w:hyperlink>
      <w:r>
        <w:t xml:space="preserve">, later unified through a stochastic-differential-equation perspective</w:t>
      </w:r>
      <w:r>
        <w:t xml:space="preserve"> </w:t>
      </w:r>
      <w:hyperlink w:anchor="ref-song2021sde">
        <w:r>
          <w:rPr>
            <w:rStyle w:val="Hyperlink"/>
          </w:rPr>
          <w:t xml:space="preserve">[37]</w:t>
        </w:r>
      </w:hyperlink>
      <w:r>
        <w:t xml:space="preserve">, define the generative-modelling family that DGLD builds on. Latent diffusion</w:t>
      </w:r>
      <w:r>
        <w:t xml:space="preserve"> </w:t>
      </w:r>
      <w:hyperlink w:anchor="ref-rombach2022ldm">
        <w:r>
          <w:rPr>
            <w:rStyle w:val="Hyperlink"/>
          </w:rPr>
          <w:t xml:space="preserve">[38]</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[39]</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[40]</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[41]</w:t>
        </w:r>
      </w:hyperlink>
      <w:r>
        <w:t xml:space="preserve">, the standard mechanism for property conditioning in image and molecular diffusion alike.</w:t>
      </w:r>
    </w:p>
    <w:bookmarkEnd w:id="48"/>
    <w:bookmarkStart w:id="49" w:name="X1fee2044b0aed91604b9df60c02ba539ea55487"/>
    <w:p>
      <w:pPr>
        <w:pStyle w:val="Heading4"/>
        <w:keepNext/>
        <w:keepLines/>
        <w:widowControl w:val="1"/>
      </w:pPr>
      <w:r>
        <w:t xml:space="preserve">N.3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[42]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[43]</w:t>
        </w:r>
      </w:hyperlink>
      <w:r>
        <w:t xml:space="preserve"> </w:t>
      </w:r>
      <w:r>
        <w:t xml:space="preserve">and TargetDiff</w:t>
      </w:r>
      <w:r>
        <w:t xml:space="preserve"> </w:t>
      </w:r>
      <w:hyperlink w:anchor="ref-guan2023targetdiff">
        <w:r>
          <w:rPr>
            <w:rStyle w:val="Hyperlink"/>
          </w:rPr>
          <w:t xml:space="preserve">[44]</w:t>
        </w:r>
      </w:hyperlink>
      <w:r>
        <w:t xml:space="preserve"> </w:t>
      </w:r>
      <w:r>
        <w:t xml:space="preserve">condition the diffusion process on a 3D protein pocket; Pocket2Mol</w:t>
      </w:r>
      <w:r>
        <w:t xml:space="preserve"> </w:t>
      </w:r>
      <w:hyperlink w:anchor="ref-peng2022pocket2mol">
        <w:r>
          <w:rPr>
            <w:rStyle w:val="Hyperlink"/>
          </w:rPr>
          <w:t xml:space="preserve">[45]</w:t>
        </w:r>
      </w:hyperlink>
      <w:r>
        <w:t xml:space="preserve"> </w:t>
      </w:r>
      <w:r>
        <w:t xml:space="preserve">samples atoms autoregressively inside the pocket; DiffDock</w:t>
      </w:r>
      <w:r>
        <w:t xml:space="preserve"> </w:t>
      </w:r>
      <w:hyperlink w:anchor="ref-corso2023diffdock">
        <w:r>
          <w:rPr>
            <w:rStyle w:val="Hyperlink"/>
          </w:rPr>
          <w:t xml:space="preserve">[46]</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[47]</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[48]</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bookmarkEnd w:id="49"/>
    <w:bookmarkStart w:id="50" w:name="X6f59e578c75987899ba0e49739321e403662feb"/>
    <w:p>
      <w:pPr>
        <w:pStyle w:val="Heading4"/>
        <w:keepNext/>
        <w:keepLines/>
        <w:widowControl w:val="1"/>
      </w:pPr>
      <w:r>
        <w:t xml:space="preserve">N.4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[4]</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[5]</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[49]</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[50]</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[51]</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[15]</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[52]</w:t>
        </w:r>
      </w:hyperlink>
      <w:r>
        <w:t xml:space="preserve"> </w:t>
      </w:r>
      <w:r>
        <w:t xml:space="preserve">and Cheetah</w:t>
      </w:r>
      <w:r>
        <w:t xml:space="preserve"> </w:t>
      </w:r>
      <w:hyperlink w:anchor="ref-fried2014cheetah">
        <w:r>
          <w:rPr>
            <w:rStyle w:val="Hyperlink"/>
          </w:rPr>
          <w:t xml:space="preserve">[53]</w:t>
        </w:r>
      </w:hyperlink>
      <w:r>
        <w:t xml:space="preserve"> </w:t>
      </w:r>
      <w:r>
        <w:t xml:space="preserve">replace the closed-form K-J step with a thermochemical-equilibrium Chapman–Jouguet (CJ)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[54]</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[2]</w:t>
        </w:r>
      </w:hyperlink>
      <w:r>
        <w:t xml:space="preserve">) are complementary to our gas-phase Bondi-vdW</w:t>
      </w:r>
      <w:r>
        <w:t xml:space="preserve"> </w:t>
      </w:r>
      <w:hyperlink w:anchor="ref-bondi1964vdw">
        <w:r>
          <w:rPr>
            <w:rStyle w:val="Hyperlink"/>
          </w:rPr>
          <w:t xml:space="preserve">[14]</w:t>
        </w:r>
      </w:hyperlink>
      <w:r>
        <w:t xml:space="preserve"> </w:t>
      </w:r>
      <w:r>
        <w:t xml:space="preserve">+ 6-anchor-calibration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[55]</w:t>
        </w:r>
      </w:hyperlink>
      <w:r>
        <w:t xml:space="preserve"> </w:t>
      </w:r>
      <w:r>
        <w:t xml:space="preserve">trained an early neural network on impact-sensitivity data; Mathieu</w:t>
      </w:r>
      <w:r>
        <w:t xml:space="preserve"> </w:t>
      </w:r>
      <w:hyperlink w:anchor="ref-mathieu2017sensitivity">
        <w:r>
          <w:rPr>
            <w:rStyle w:val="Hyperlink"/>
          </w:rPr>
          <w:t xml:space="preserve">[15]</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[12]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[9]</w:t>
        </w:r>
      </w:hyperlink>
      <w:r>
        <w:t xml:space="preserve"> </w:t>
      </w:r>
      <w:r>
        <w:t xml:space="preserve">codifies the qualitative fragment priors (nitrogen-rich heterocycles, nitramines, azides) on which our motif-augmented training set is built.</w:t>
      </w:r>
    </w:p>
    <w:bookmarkEnd w:id="50"/>
    <w:bookmarkStart w:id="51" w:name="X8c90806feaa2d7c2d1d4fb194c44ff6c515c2aa"/>
    <w:p>
      <w:pPr>
        <w:pStyle w:val="Heading4"/>
        <w:keepNext/>
        <w:keepLines/>
        <w:widowControl w:val="1"/>
      </w:pPr>
      <w:r>
        <w:t xml:space="preserve">N.5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[56]</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[12]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[3]</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bookmarkEnd w:id="51"/>
    <w:bookmarkStart w:id="52" w:name="n.6-general-purpose-property-predictors"/>
    <w:p>
      <w:pPr>
        <w:pStyle w:val="Heading4"/>
        <w:keepNext/>
        <w:keepLines/>
        <w:widowControl w:val="1"/>
      </w:pPr>
      <w:r>
        <w:t xml:space="preserve">N.6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[57]</w:t>
        </w:r>
      </w:hyperlink>
      <w:r>
        <w:t xml:space="preserve"> </w:t>
      </w:r>
      <w:r>
        <w:t xml:space="preserve">remains a strong message-passing-graph default; SchNet</w:t>
      </w:r>
      <w:r>
        <w:t xml:space="preserve"> </w:t>
      </w:r>
      <w:hyperlink w:anchor="ref-schutt2018schnet">
        <w:r>
          <w:rPr>
            <w:rStyle w:val="Hyperlink"/>
          </w:rPr>
          <w:t xml:space="preserve">[58]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[59]</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52"/>
    <w:bookmarkStart w:id="53" w:name="X482ca0b9b919e762d6687696d25a1de55bff1b0"/>
    <w:p>
      <w:pPr>
        <w:pStyle w:val="Heading4"/>
        <w:keepNext/>
        <w:keepLines/>
        <w:widowControl w:val="1"/>
      </w:pPr>
      <w:r>
        <w:t xml:space="preserve">N.7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[16]</w:t>
        </w:r>
      </w:hyperlink>
      <w:r>
        <w:t xml:space="preserve"> </w:t>
      </w:r>
      <w:r>
        <w:t xml:space="preserve">and GuacaMol</w:t>
      </w:r>
      <w:r>
        <w:t xml:space="preserve"> </w:t>
      </w:r>
      <w:hyperlink w:anchor="ref-brown2019guacamol">
        <w:r>
          <w:rPr>
            <w:rStyle w:val="Hyperlink"/>
          </w:rPr>
          <w:t xml:space="preserve">[60]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[17]</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[61]</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[6]</w:t>
        </w:r>
      </w:hyperlink>
      <w:r>
        <w:t xml:space="preserve">+PubChem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[62]</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[63]</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[64]</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53"/>
    <w:bookmarkStart w:id="54" w:name="n.8-validation-tooling"/>
    <w:p>
      <w:pPr>
        <w:pStyle w:val="Heading4"/>
        <w:keepNext/>
        <w:keepLines/>
        <w:widowControl w:val="1"/>
      </w:pPr>
      <w:r>
        <w:t xml:space="preserve">N.8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[11]</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[65]</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[66]</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[13]</w:t>
        </w:r>
      </w:hyperlink>
      <w:r>
        <w:t xml:space="preserve">, which evaluates the density-functional zoo over a broad cross-section of main-group thermochemistry, kinetics and noncovalent interactions and grounds our choice of functional and basis.</w:t>
      </w:r>
    </w:p>
    <w:bookmarkEnd w:id="54"/>
    <w:bookmarkEnd w:id="55"/>
    <w:bookmarkStart w:id="125" w:name="sec-si-migrated"/>
    <w:p>
      <w:pPr>
        <w:pStyle w:val="Heading3"/>
        <w:keepNext/>
        <w:keepLines/>
        <w:widowControl w:val="1"/>
      </w:pPr>
      <w:r>
        <w:t xml:space="preserve">Supplementary Figures S5–S23 and Tables S30–S35</w:t>
      </w:r>
    </w:p>
    <w:p>
      <w:pPr>
        <w:pStyle w:val="FirstParagraph"/>
        <w:jc w:val="both"/>
        <w:keepNext w:val="0"/>
        <w:keepLines w:val="0"/>
        <w:widowControl w:val="1"/>
      </w:pPr>
      <w:r>
        <w:t xml:space="preserve">The following display items support the main text and are referenced there as Supplementary Fig. S5–S23 and Supplementary Table S30–S35.</w:t>
      </w:r>
    </w:p>
    <w:p>
      <w:pPr>
        <w:pStyle w:val="BodyText"/>
        <w:jc w:val="center"/>
        <w:keepNext/>
        <w:keepLines/>
        <w:widowControl w:val="1"/>
      </w:pPr>
      <w:r>
        <w:drawing>
          <wp:inline>
            <wp:extent cx="5943600" cy="2403443"/>
            <wp:effectExtent b="0" l="0" r="0" t="0"/>
            <wp:docPr descr="Top leads in the (D,P) plane" title="" id="57" name="Picture"/>
            <a:graphic>
              <a:graphicData uri="http://schemas.openxmlformats.org/drawingml/2006/picture">
                <pic:pic>
                  <pic:nvPicPr>
                    <pic:cNvPr descr="../figs/fig3_leads_dp_plane.png" id="58" name="Picture"/>
                    <pic:cNvPicPr>
                      <a:picLocks noChangeArrowheads="1" noChangeAspect="1"/>
                    </pic:cNvPicPr>
                  </pic:nvPicPr>
                  <pic:blipFill>
                    <a:blip r:embed="rId56"/>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S5.</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 s−1,  GPa overlay both panels.</w:t>
      </w:r>
    </w:p>
    <w:p>
      <w:pPr>
        <w:pStyle w:val="BodyText"/>
        <w:jc w:val="center"/>
        <w:keepNext/>
        <w:keepLines/>
        <w:widowControl w:val="1"/>
      </w:pPr>
      <w:r>
        <w:drawing>
          <wp:inline>
            <wp:extent cx="5943600" cy="3988623"/>
            <wp:effectExtent b="0" l="0" r="0" t="0"/>
            <wp:docPr descr="Pareto front of the gated reranker" title="" id="60" name="Picture"/>
            <a:graphic>
              <a:graphicData uri="http://schemas.openxmlformats.org/drawingml/2006/picture">
                <pic:pic>
                  <pic:nvPicPr>
                    <pic:cNvPr descr="../figs/fig6_pareto_v2.png" id="61" name="Picture"/>
                    <pic:cNvPicPr>
                      <a:picLocks noChangeArrowheads="1" noChangeAspect="1"/>
                    </pic:cNvPicPr>
                  </pic:nvPicPr>
                  <pic:blipFill>
                    <a:blip r:embed="rId59"/>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S6.</w:t>
      </w:r>
      <w:r>
        <w:rPr>
          <w:b w:val="0"/>
          <w:i/>
        </w:rPr>
        <w:t xml:space="preserve"> </w:t>
      </w:r>
      <w:r>
        <w:rPr>
          <w:b w:val="0"/>
          <w:i/>
        </w:rPr>
        <w:t>Filtered candidates (post hard-gate): saturating-performance score (x) vs. viability classifier output (y), coloured by sensitivity proxy. Stars mark the Pareto front.</w:t>
      </w:r>
    </w:p>
    <w:bookmarkStart w:id="65" w:name="fig-baseline-forest"/>
    <w:p>
      <w:pPr>
        <w:pStyle w:val="BodyText"/>
        <w:jc w:val="center"/>
        <w:keepNext/>
        <w:keepLines/>
        <w:widowControl w:val="1"/>
      </w:pPr>
      <w:r>
        <w:drawing>
          <wp:inline>
            <wp:extent cx="5943600" cy="3272694"/>
            <wp:effectExtent b="0" l="0" r="0" t="0"/>
            <wp:docPr descr="Forest plot of top-1 Pareto-reranker composite penalty" title="" id="63" name="Picture"/>
            <a:graphic>
              <a:graphicData uri="http://schemas.openxmlformats.org/drawingml/2006/picture">
                <pic:pic>
                  <pic:nvPicPr>
                    <pic:cNvPr descr="../figs/fig_baseline_forest.png" id="64" name="Picture"/>
                    <pic:cNvPicPr>
                      <a:picLocks noChangeArrowheads="1" noChangeAspect="1"/>
                    </pic:cNvPicPr>
                  </pic:nvPicPr>
                  <pic:blipFill>
                    <a:blip r:embed="rId62"/>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S7.</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main-text Table 2 footnotes for cross-method comparability caveats.</w:t>
      </w:r>
    </w:p>
    <w:bookmarkEnd w:id="65"/>
    <w:bookmarkStart w:id="69" w:name="fig-moses-panels"/>
    <w:p>
      <w:pPr>
        <w:pStyle w:val="BodyText"/>
        <w:jc w:val="center"/>
        <w:keepNext/>
        <w:keepLines/>
        <w:widowControl w:val="1"/>
      </w:pPr>
      <w:r>
        <w:drawing>
          <wp:inline>
            <wp:extent cx="5943600" cy="3335845"/>
            <wp:effectExtent b="0" l="0" r="0" t="0"/>
            <wp:docPr descr="MOSES-style distribution-learning small multiples" title="" id="67" name="Picture"/>
            <a:graphic>
              <a:graphicData uri="http://schemas.openxmlformats.org/drawingml/2006/picture">
                <pic:pic>
                  <pic:nvPicPr>
                    <pic:cNvPr descr="../figs/fig_moses_small_multiples.png" id="68" name="Picture"/>
                    <pic:cNvPicPr>
                      <a:picLocks noChangeArrowheads="1" noChangeAspect="1"/>
                    </pic:cNvPicPr>
                  </pic:nvPicPr>
                  <pic:blipFill>
                    <a:blip r:embed="rId6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S8.</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69"/>
    <w:bookmarkStart w:id="73" w:name="fig-forest-ablation"/>
    <w:p>
      <w:pPr>
        <w:pStyle w:val="BodyText"/>
        <w:jc w:val="center"/>
        <w:keepNext/>
        <w:keepLines/>
        <w:widowControl w:val="1"/>
      </w:pPr>
      <w:r>
        <w:drawing>
          <wp:inline>
            <wp:extent cx="5943600" cy="2095370"/>
            <wp:effectExtent b="0" l="0" r="0" t="0"/>
            <wp:docPr descr="Forest plot of guidance ablation effect sizes vs unguided baseline" title="" id="71" name="Picture"/>
            <a:graphic>
              <a:graphicData uri="http://schemas.openxmlformats.org/drawingml/2006/picture">
                <pic:pic>
                  <pic:nvPicPr>
                    <pic:cNvPr descr="../figs/fig_forest_ablation.png" id="72" name="Picture"/>
                    <pic:cNvPicPr>
                      <a:picLocks noChangeArrowheads="1" noChangeAspect="1"/>
                    </pic:cNvPicPr>
                  </pic:nvPicPr>
                  <pic:blipFill>
                    <a:blip r:embed="rId70"/>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S9.</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73"/>
    <w:p>
      <w:pPr>
        <w:pStyle w:val="BodyText"/>
        <w:jc w:val="center"/>
        <w:keepNext/>
        <w:keepLines/>
        <w:widowControl w:val="1"/>
      </w:pPr>
      <w:r>
        <w:drawing>
          <wp:inline>
            <wp:extent cx="5943600" cy="4245959"/>
            <wp:effectExtent b="0" l="0" r="0" t="0"/>
            <wp:docPr descr="Density vs detonation velocity scatter" title="" id="75" name="Picture"/>
            <a:graphic>
              <a:graphicData uri="http://schemas.openxmlformats.org/drawingml/2006/picture">
                <pic:pic>
                  <pic:nvPicPr>
                    <pic:cNvPr descr="../figs/fig_eda_density_vs_velocity.png" id="76" name="Picture"/>
                    <pic:cNvPicPr>
                      <a:picLocks noChangeArrowheads="1" noChangeAspect="1"/>
                    </pic:cNvPicPr>
                  </pic:nvPicPr>
                  <pic:blipFill>
                    <a:blip r:embed="rId74"/>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S10.</w:t>
      </w:r>
      <w:r>
        <w:rPr>
          <w:b w:val="0"/>
          <w:i/>
        </w:rPr>
        <w:t xml:space="preserve"> </w:t>
      </w:r>
      <w:r>
        <w:rPr>
          <w:b w:val="0"/>
          <w:i/>
        </w:rPr>
        <w:t>Properties of the labelled corpus. Joint distribution of density and detonation velocity, with literature anchors overlaid. The bulk of the labelled distribution sits at ,  km s−1; the high-tail above  km s−1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78" name="Picture"/>
            <a:graphic>
              <a:graphicData uri="http://schemas.openxmlformats.org/drawingml/2006/picture">
                <pic:pic>
                  <pic:nvPicPr>
                    <pic:cNvPr descr="../figs/fig_eda_property_hists.png" id="79" name="Picture"/>
                    <pic:cNvPicPr>
                      <a:picLocks noChangeArrowheads="1" noChangeAspect="1"/>
                    </pic:cNvPicPr>
                  </pic:nvPicPr>
                  <pic:blipFill>
                    <a:blip r:embed="rId77"/>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S11.</w:t>
      </w:r>
      <w:r>
        <w:rPr>
          <w:b w:val="0"/>
          <w:i/>
        </w:rPr>
        <w:t xml:space="preserve"> </w:t>
      </w:r>
      <w:r>
        <w:rPr>
          <w:b w:val="0"/>
          <w:i/>
        </w:rPr>
        <w:t>Per-property histograms over the labelled corpus. Density and detonation velocity are sharply peaked; HOF has a heavy tail that the high-tail-oversampling recipe (Section 4.3) is designed to amplify during conditioning.</w:t>
      </w:r>
    </w:p>
    <w:p>
      <w:pPr>
        <w:pStyle w:val="BodyText"/>
        <w:jc w:val="center"/>
        <w:keepNext/>
        <w:keepLines/>
        <w:widowControl w:val="1"/>
      </w:pPr>
      <w:r>
        <w:drawing>
          <wp:inline>
            <wp:extent cx="5943600" cy="3714750"/>
            <wp:effectExtent b="0" l="0" r="0" t="0"/>
            <wp:docPr descr="Tier composition pies" title="" id="81" name="Picture"/>
            <a:graphic>
              <a:graphicData uri="http://schemas.openxmlformats.org/drawingml/2006/picture">
                <pic:pic>
                  <pic:nvPicPr>
                    <pic:cNvPr descr="../figs/fig_eda_tier_composition.png" id="82" name="Picture"/>
                    <pic:cNvPicPr>
                      <a:picLocks noChangeArrowheads="1" noChangeAspect="1"/>
                    </pic:cNvPicPr>
                  </pic:nvPicPr>
                  <pic:blipFill>
                    <a:blip r:embed="rId80"/>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S12.</w:t>
      </w:r>
      <w:r>
        <w:rPr>
          <w:b w:val="0"/>
          <w:i/>
        </w:rPr>
        <w:t xml:space="preserve"> </w:t>
      </w:r>
      <w:r>
        <w:rPr>
          <w:b w:val="0"/>
          <w:i/>
        </w:rPr>
        <w:t>Label-tier composition by property (tiers defined in main-text Table 3 below): experimental Tier-A and DFT-derived Tier-B labels are present for only a small fraction of rows on each axis, while Kamlet–Jacobs Tier-C and Uni-Mol Tier-D labels dominate by volume. Trust-gating decouples corpus volume from conditional-signal quality.</w:t>
      </w:r>
    </w:p>
    <w:bookmarkStart w:id="86" w:name="fig-7"/>
    <w:p>
      <w:pPr>
        <w:pStyle w:val="BodyText"/>
        <w:jc w:val="center"/>
        <w:keepNext/>
        <w:keepLines/>
        <w:widowControl w:val="1"/>
      </w:pPr>
      <w:r>
        <w:drawing>
          <wp:inline>
            <wp:extent cx="5943600" cy="1192434"/>
            <wp:effectExtent b="0" l="0" r="0" t="0"/>
            <wp:docPr descr="DGLD LIMO VAE fine-tuning loop" title="" id="84" name="Picture"/>
            <a:graphic>
              <a:graphicData uri="http://schemas.openxmlformats.org/drawingml/2006/picture">
                <pic:pic>
                  <pic:nvPicPr>
                    <pic:cNvPr descr="../figs/fig4a_data_prep.png" id="85" name="Picture"/>
                    <pic:cNvPicPr>
                      <a:picLocks noChangeArrowheads="1" noChangeAspect="1"/>
                    </pic:cNvPicPr>
                  </pic:nvPicPr>
                  <pic:blipFill>
                    <a:blip r:embed="rId83"/>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S13.</w:t>
      </w:r>
      <w:r>
        <w:rPr>
          <w:b w:val="0"/>
          <w:i/>
        </w:rPr>
        <w:t xml:space="preserve"> </w:t>
      </w:r>
      <w:r>
        <w:rPr>
          <w:b w:val="0"/>
          <w:i/>
        </w:rPr>
        <w:t>Property-agnostic SELFIES VAE fine-tuned on the 326k energetic corpus (8.5k steps, ELBO with ). The cached latent mean  is the  consumed by Fig. S15 (Denoiser training) and Fig. S16, 19 (Labeling, Self-distillation). Hyperparameters in Table S2.</w:t>
      </w:r>
    </w:p>
    <w:bookmarkEnd w:id="86"/>
    <w:bookmarkStart w:id="90"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8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S14.</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 S15 (Denoiser training); details and probabilities in Section 4.6 and Table S3.</w:t>
      </w:r>
    </w:p>
    <w:bookmarkEnd w:id="90"/>
    <w:bookmarkStart w:id="94" w:name="fig-9"/>
    <w:p>
      <w:pPr>
        <w:pStyle w:val="BodyText"/>
        <w:jc w:val="center"/>
        <w:keepNext/>
        <w:keepLines/>
        <w:widowControl w:val="1"/>
      </w:pPr>
      <w:r>
        <w:drawing>
          <wp:inline>
            <wp:extent cx="5943600" cy="3345052"/>
            <wp:effectExtent b="0" l="0" r="0" t="0"/>
            <wp:docPr descr="DGLD denoiser training: per-step update loop with mask-gated conditioning" title="" id="92" name="Picture"/>
            <a:graphic>
              <a:graphicData uri="http://schemas.openxmlformats.org/drawingml/2006/picture">
                <pic:pic>
                  <pic:nvPicPr>
                    <pic:cNvPr descr="../figs/fig4c_denoiser_train.png" id="93" name="Picture"/>
                    <pic:cNvPicPr>
                      <a:picLocks noChangeArrowheads="1" noChangeAspect="1"/>
                    </pic:cNvPicPr>
                  </pic:nvPicPr>
                  <pic:blipFill>
                    <a:blip r:embed="rId91"/>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S15.</w:t>
      </w:r>
      <w:r>
        <w:rPr>
          <w:b w:val="0"/>
          <w:i/>
        </w:rPr>
        <w:t xml:space="preserve"> </w:t>
      </w:r>
      <w:r>
        <w:rPr>
          <w:b w:val="0"/>
          <w:i/>
        </w:rPr>
        <w:t>Sample ; form ; the FiLM-ResNet predicts  from  where  (from Fig. S14) gates the property vector. Loss is per-sample MSE  weighted by ; AdamW + EMA. Hyperparameters in Table S3.</w:t>
      </w:r>
    </w:p>
    <w:bookmarkEnd w:id="94"/>
    <w:bookmarkStart w:id="98" w:name="fig-10"/>
    <w:p>
      <w:pPr>
        <w:pStyle w:val="BodyText"/>
        <w:jc w:val="center"/>
        <w:keepNext/>
        <w:keepLines/>
        <w:widowControl w:val="1"/>
      </w:pPr>
      <w:r>
        <w:drawing>
          <wp:inline>
            <wp:extent cx="5943600" cy="3343275"/>
            <wp:effectExtent b="0" l="0" r="0" t="0"/>
            <wp:docPr descr="DGLD score-model data labeling: SMILES + LIMO latent + four label-source models" title="" id="96" name="Picture"/>
            <a:graphic>
              <a:graphicData uri="http://schemas.openxmlformats.org/drawingml/2006/picture">
                <pic:pic>
                  <pic:nvPicPr>
                    <pic:cNvPr descr="../figs/fig4e1_data_labeling.png" id="97" name="Picture"/>
                    <pic:cNvPicPr>
                      <a:picLocks noChangeArrowheads="1" noChangeAspect="1"/>
                    </pic:cNvPicPr>
                  </pic:nvPicPr>
                  <pic:blipFill>
                    <a:blip r:embed="rId95"/>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S16.</w:t>
      </w:r>
      <w:r>
        <w:rPr>
          <w:b w:val="0"/>
          <w:i/>
        </w:rPr>
        <w:t xml:space="preserve"> </w:t>
      </w:r>
      <w:r>
        <w:rPr>
          <w:b w:val="0"/>
          <w:i/>
        </w:rPr>
        <w:t>Four offline pipelines (run once per corpus) generate per-row labels: Random Forest ; Politzer–Murray BDE ; SMARTS + Bruns–Watson ; Uni-Mol smoke ensemble . Cached LIMO  is held for Fig. S18 (Self-distillation). Sources in Table S4.</w:t>
      </w:r>
    </w:p>
    <w:bookmarkEnd w:id="98"/>
    <w:bookmarkStart w:id="102" w:name="fig-11"/>
    <w:p>
      <w:pPr>
        <w:pStyle w:val="BodyText"/>
        <w:jc w:val="center"/>
        <w:keepNext/>
        <w:keepLines/>
        <w:widowControl w:val="1"/>
      </w:pPr>
      <w:r>
        <w:drawing>
          <wp:inline>
            <wp:extent cx="5943600" cy="3347054"/>
            <wp:effectExtent b="0" l="0" r="0" t="0"/>
            <wp:docPr descr="DGLD guidance training: shared FiLM-MLP trunk + 4 heads + per-head losses" title="" id="100" name="Picture"/>
            <a:graphic>
              <a:graphicData uri="http://schemas.openxmlformats.org/drawingml/2006/picture">
                <pic:pic>
                  <pic:nvPicPr>
                    <pic:cNvPr descr="../figs/fig4e1_guide_train.png" id="101" name="Picture"/>
                    <pic:cNvPicPr>
                      <a:picLocks noChangeArrowheads="1" noChangeAspect="1"/>
                    </pic:cNvPicPr>
                  </pic:nvPicPr>
                  <pic:blipFill>
                    <a:blip r:embed="rId99"/>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S17.</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 S16 base labels; the Viability head is then refined via Fig. S18 (Self-distillation). At sample time only Viability, Sensitivity, and Hazard contribute steering signals; Performance, SA, and SC are auxiliary multi-task heads (Supplementary Section B.4).</w:t>
      </w:r>
    </w:p>
    <w:bookmarkEnd w:id="102"/>
    <w:bookmarkStart w:id="106"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104" name="Picture"/>
            <a:graphic>
              <a:graphicData uri="http://schemas.openxmlformats.org/drawingml/2006/picture">
                <pic:pic>
                  <pic:nvPicPr>
                    <pic:cNvPr descr="../figs/fig4f_self_distillation.png" id="105" name="Picture"/>
                    <pic:cNvPicPr>
                      <a:picLocks noChangeArrowheads="1" noChangeAspect="1"/>
                    </pic:cNvPicPr>
                  </pic:nvPicPr>
                  <pic:blipFill>
                    <a:blip r:embed="rId103"/>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S18.</w:t>
      </w:r>
      <w:r>
        <w:rPr>
          <w:b w:val="0"/>
          <w:i/>
        </w:rPr>
        <w:t xml:space="preserve"> </w:t>
      </w:r>
      <w:r>
        <w:rPr>
          <w:b w:val="0"/>
          <w:i/>
        </w:rPr>
        <w:t>Three rounds of mine-then-retrain that refine the Viability head only of the Fig. S17 score model; the denoiser (Fig. S15) and LIMO VAE (Fig. S13) are frozen. Each round samples, gates with Fig. S20 (Filtering), encodes false-positives through frozen LIMO as viab0 hard negatives, and folds them into the next round's training set (137  918 negatives). Stopping criterion in Supplementary Section B.1.</w:t>
      </w:r>
    </w:p>
    <w:bookmarkEnd w:id="106"/>
    <w:bookmarkStart w:id="110" w:name="fig-13"/>
    <w:p>
      <w:pPr>
        <w:pStyle w:val="BodyText"/>
        <w:jc w:val="center"/>
        <w:keepNext/>
        <w:keepLines/>
        <w:widowControl w:val="1"/>
      </w:pPr>
      <w:r>
        <w:drawing>
          <wp:inline>
            <wp:extent cx="5943600" cy="3343275"/>
            <wp:effectExtent b="0" l="0" r="0" t="0"/>
            <wp:docPr descr="DGLD sampling: DDIM denoise with multi-task steering signals" title="" id="108" name="Picture"/>
            <a:graphic>
              <a:graphicData uri="http://schemas.openxmlformats.org/drawingml/2006/picture">
                <pic:pic>
                  <pic:nvPicPr>
                    <pic:cNvPr descr="../figs/fig4c_sampling_guidance.png" id="109" name="Picture"/>
                    <pic:cNvPicPr>
                      <a:picLocks noChangeArrowheads="1" noChangeAspect="1"/>
                    </pic:cNvPicPr>
                  </pic:nvPicPr>
                  <pic:blipFill>
                    <a:blip r:embed="rId10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S19.</w:t>
      </w:r>
      <w:r>
        <w:rPr>
          <w:b w:val="0"/>
          <w:i/>
        </w:rPr>
        <w:t xml:space="preserve"> </w:t>
      </w:r>
      <w:r>
        <w:rPr>
          <w:b w:val="0"/>
          <w:i/>
        </w:rPr>
        <w:t>A latent  is denoised over 40 DDIM steps with a steering bus  over the three active steering signals of Fig. S17 perturbing  at every step. The final  decodes through frozen LIMO to a SMILES pool consumed by Fig. S21 (Pool fusion). Per-head scales  in Supplementary Section B.</w:t>
      </w:r>
    </w:p>
    <w:bookmarkEnd w:id="110"/>
    <w:bookmarkStart w:id="114" w:name="fig-14"/>
    <w:p>
      <w:pPr>
        <w:pStyle w:val="BodyText"/>
        <w:jc w:val="center"/>
        <w:keepNext/>
        <w:keepLines/>
        <w:widowControl w:val="1"/>
      </w:pPr>
      <w:r>
        <w:drawing>
          <wp:inline>
            <wp:extent cx="5943600" cy="3343275"/>
            <wp:effectExtent b="0" l="0" r="0" t="0"/>
            <wp:docPr descr="DGLD post-sampling: decode, filter, rerank" title="" id="112" name="Picture"/>
            <a:graphic>
              <a:graphicData uri="http://schemas.openxmlformats.org/drawingml/2006/picture">
                <pic:pic>
                  <pic:nvPicPr>
                    <pic:cNvPr descr="../figs/fig4d_decode_rerank.png" id="113" name="Picture"/>
                    <pic:cNvPicPr>
                      <a:picLocks noChangeArrowheads="1" noChangeAspect="1"/>
                    </pic:cNvPicPr>
                  </pic:nvPicPr>
                  <pic:blipFill>
                    <a:blip r:embed="rId111"/>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S20.</w:t>
      </w:r>
      <w:r>
        <w:rPr>
          <w:b w:val="0"/>
          <w:i/>
        </w:rPr>
        <w:t xml:space="preserve"> </w:t>
      </w:r>
      <w:r>
        <w:rPr>
          <w:b w:val="0"/>
          <w:i/>
        </w:rPr>
        <w:t>Four-stage funnel on the Fig. S21 Pool fusion output: Stage 1 SMARTS gate, Stage 2 Pareto reranker (this section), Stage 3 xTB triage (Section 2.3), Stage 4 DFT audit (Section 2.3). Illustrative survivors: 40k  1 800 chem-pass after Stage 1+2 (966 full-filter survivors, Supplementary Section F.2)  top-100  11 DFT-validated.</w:t>
      </w:r>
    </w:p>
    <w:bookmarkEnd w:id="114"/>
    <w:bookmarkStart w:id="118"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116" name="Picture"/>
            <a:graphic>
              <a:graphicData uri="http://schemas.openxmlformats.org/drawingml/2006/picture">
                <pic:pic>
                  <pic:nvPicPr>
                    <pic:cNvPr descr="../figs/fig4g_pool_fusion.png" id="117" name="Picture"/>
                    <pic:cNvPicPr>
                      <a:picLocks noChangeArrowheads="1" noChangeAspect="1"/>
                    </pic:cNvPicPr>
                  </pic:nvPicPr>
                  <pic:blipFill>
                    <a:blip r:embed="rId115"/>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S21.</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Section 4.13 reranker (Fig. S20).</w:t>
      </w:r>
    </w:p>
    <w:bookmarkEnd w:id="118"/>
    <w:p>
      <w:pPr>
        <w:pStyle w:val="BodyText"/>
        <w:jc w:val="center"/>
        <w:keepNext/>
        <w:keepLines/>
        <w:widowControl w:val="1"/>
      </w:pPr>
      <w:r>
        <w:drawing>
          <wp:inline>
            <wp:extent cx="5943600" cy="3516503"/>
            <wp:effectExtent b="0" l="0" r="0" t="0"/>
            <wp:docPr descr="CFG sweep" title="" id="120" name="Picture"/>
            <a:graphic>
              <a:graphicData uri="http://schemas.openxmlformats.org/drawingml/2006/picture">
                <pic:pic>
                  <pic:nvPicPr>
                    <pic:cNvPr descr="../figs/fig2_cfg_sweep.png" id="121" name="Picture"/>
                    <pic:cNvPicPr>
                      <a:picLocks noChangeArrowheads="1" noChangeAspect="1"/>
                    </pic:cNvPicPr>
                  </pic:nvPicPr>
                  <pic:blipFill>
                    <a:blip r:embed="rId119"/>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S22.</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123" name="Picture"/>
            <a:graphic>
              <a:graphicData uri="http://schemas.openxmlformats.org/drawingml/2006/picture">
                <pic:pic>
                  <pic:nvPicPr>
                    <pic:cNvPr descr="../figs/fig1_pool_scaling.png" id="124" name="Picture"/>
                    <pic:cNvPicPr>
                      <a:picLocks noChangeArrowheads="1" noChangeAspect="1"/>
                    </pic:cNvPicPr>
                  </pic:nvPicPr>
                  <pic:blipFill>
                    <a:blip r:embed="rId122"/>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S23.</w:t>
      </w:r>
      <w:r>
        <w:rPr>
          <w:b w:val="0"/>
          <w:i/>
        </w:rPr>
        <w:t xml:space="preserve"> </w:t>
      </w:r>
      <w:r>
        <w:rPr>
          <w:b w:val="0"/>
          <w:i/>
        </w:rPr>
        <w:t>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S30.</w:t>
      </w:r>
      <w:r>
        <w:rPr>
          <w:b w:val="0"/>
          <w:i/>
        </w:rPr>
        <w:t xml:space="preserve"> </w:t>
      </w:r>
      <w:r>
        <w:rPr>
          <w:b w:val="0"/>
          <w:i/>
        </w:rPr>
        <w:t>Per-lead calibration-propagated uncertainty on K-J  and .  and  are obtained by propagating the 6-anchor LOO calibration errors ( g cm−3,  kJ mol−1) through the K-J analytic sensitivity slopes in quadrature. The "K-J formula bias" column reports a per-lead estimate of the typical K-J under-prediction at the lead's N-fraction, derived from the Section 2.3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S30. Per-lead calibration-propagated uncertainty on K-J D and P. \delta D and \delta P are obtained by propagating the 6-anchor LOO calibration errors (\delta\rho_\mathrm{LOO}=0.078 g cm−3, \delta\mathrm{HOF}_\mathrm{LOO}=64.6 kJ mol−1) through the K-J analytic sensitivity slopes in quadrature. The &quot;K-J formula bias&quot; column reports a per-lead estimate of the typical K-J under-prediction at the lead's N-fraction, derived from the Section 2.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 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 mol</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 s</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 s</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 s</w:t>
            </w:r>
            <w:r>
              <w:rPr>
                <w:rFonts w:ascii="Times New Roman" w:hAnsi="Times New Roman"/>
                <w:b/>
                <w:sz w:val="17"/>
                <w:vertAlign w:val="superscript"/>
              </w:rPr>
              <w:t xml:space="preserve">−1</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
      <w:pPr>
        <w:pStyle w:val="TableCaption"/>
        <w:spacing w:before="280" w:after="60" w:line="240" w:lineRule="auto"/>
        <w:jc w:val="center"/>
        <w:keepNext/>
        <w:keepLines/>
        <w:widowControl w:val="1"/>
      </w:pPr>
      <w:r>
        <w:rPr>
          <w:b/>
          <w:i/>
        </w:rPr>
        <w:t>Table S31.</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S31.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p/>
    <w:p>
      <w:pPr>
        <w:pStyle w:val="TableCaption"/>
        <w:spacing w:before="280" w:after="60" w:line="240" w:lineRule="auto"/>
        <w:jc w:val="center"/>
        <w:keepNext/>
        <w:keepLines/>
        <w:widowControl w:val="1"/>
      </w:pPr>
      <w:r>
        <w:rPr>
          <w:b/>
          <w:i/>
        </w:rPr>
        <w:t>Table S32.</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S32.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p/>
    <w:p>
      <w:pPr>
        <w:pStyle w:val="TableCaption"/>
        <w:spacing w:before="280" w:after="60" w:line="240" w:lineRule="auto"/>
        <w:jc w:val="center"/>
        <w:keepNext/>
        <w:keepLines/>
        <w:widowControl w:val="1"/>
      </w:pPr>
      <w:r>
        <w:rPr>
          <w:b/>
          <w:i/>
        </w:rPr>
        <w:t>Table S33.</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 S33 and Table S34 for the E2/E9 K-J caveats referenced in Table S34.</w:t>
      </w:r>
    </w:p>
    <w:tbl>
      <w:tblPr>
        <w:tblStyle w:val="Table"/>
        <w:tblW w:type="pct" w:w="5000"/>
        <w:jc w:val="center"/>
        <w:tblLook w:firstRow="1" w:lastRow="0" w:firstColumn="0" w:lastColumn="0" w:noHBand="0" w:noVBand="0" w:val="0020"/>
        <w:tblCaption w:val="Table S33. Extension-set leads: structure and pre-screen. Columns: lead ID, canonical SMILES, chemotype family, molecular formula, atom count (n_atoms), GFN2-xTB HOMO–LUMO gap in eV, and whether the molecular graph is preserved after xTB geometry optimisation (yes/no). See † footnote between Table S33 and Table S34 for the E2/E9 K-J caveats referenced in Table S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
      <w:pPr>
        <w:pStyle w:val="TableCaption"/>
        <w:spacing w:before="280" w:after="60" w:line="240" w:lineRule="auto"/>
        <w:jc w:val="center"/>
        <w:keepNext/>
        <w:keepLines/>
        <w:widowControl w:val="1"/>
      </w:pPr>
      <w:r>
        <w:rPr>
          <w:b/>
          <w:i/>
        </w:rPr>
        <w:t>Table S34.</w:t>
      </w:r>
      <w:r>
        <w:rPr>
          <w:b w:val="0"/>
          <w:i/>
        </w:rPr>
        <w:t xml:space="preserve"> </w:t>
      </w:r>
      <w:r>
        <w:rPr>
          <w:b w:val="0"/>
          <w:i/>
        </w:rPr>
        <w:t>Extension-set leads: DFT, 6-anchor calibration, Kamlet–Jacobs, and h50. Columns: lead ID, raw DFT density ρDFT (g cm−3), 6-anchor-calibrated density ρcal (g cm−3), raw DFT heat of formation HOFDFT (kJ mol−1), calibrated HOFcal (kJ mol−1), Kamlet–Jacobs detonation velocity on calibrated inputs DK-J,cal (km s−1), Kamlet–Jacobs detonation pressure PK-J,cal (GPa), and Politzer–Murray BDE-correlated drop-weight impact sensitivity h50,BDE (cm). †E2 D and P are flagged: OB = +28.9 % exceeds the +25 % K-J reliability limit; these values are upper-bound estimates only (see Section 2.4 E2 audit). E9 K-J is undefined (OB &lt; −200 %). E1, E6, and E9 are known compounds (recovered, not novel; E1 PubChem CID 57438703, E6 CID 201040, E9 1H-tetrazole).</w:t>
      </w:r>
    </w:p>
    <w:tbl>
      <w:tblPr>
        <w:tblStyle w:val="Table"/>
        <w:tblW w:type="pct" w:w="5000"/>
        <w:jc w:val="center"/>
        <w:tblLook w:firstRow="1" w:lastRow="0" w:firstColumn="0" w:lastColumn="0" w:noHBand="0" w:noVBand="0" w:val="0020"/>
        <w:tblCaption w:val="Table S34. Extension-set leads: DFT, 6-anchor calibration, Kamlet–Jacobs, and h50. Columns: lead ID, raw DFT density ρDFT (g cm−3), 6-anchor-calibrated density ρcal (g cm−3), raw DFT heat of formation HOFDFT (kJ mol−1), calibrated HOFcal (kJ mol−1), Kamlet–Jacobs detonation velocity on calibrated inputs DK-J,cal (km s−1), Kamlet–Jacobs detonation pressure PK-J,cal (GPa), and Politzer–Murray BDE-correlated drop-weight impact sensitivity h50,BDE (cm). †E2 D and P are flagged: OB = +28.9 % exceeds the +25 % K-J reliability limit; these values are upper-bound estimates only (see Section 2.4 E2 audit). E9 K-J is undefined (OB &lt; −200 %). E1, E6, and E9 are known compounds (recovered, not novel; E1 PubChem CID 57438703, E6 CID 201040, E9 1H-tetrazo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 mol</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 mol</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 s</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
      <w:pPr>
        <w:pStyle w:val="TableCaption"/>
        <w:spacing w:before="280" w:after="60" w:line="240" w:lineRule="auto"/>
        <w:jc w:val="center"/>
        <w:keepNext/>
        <w:keepLines/>
        <w:widowControl w:val="1"/>
      </w:pPr>
      <w:r>
        <w:rPr>
          <w:b/>
          <w:i/>
        </w:rPr>
        <w:t>Table S35.</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S35.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Stage-1+2 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 s</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(+0.45); 4.6 % vs 48 % Stage-1+2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 s</w:t>
            </w:r>
            <w:r>
              <w:rPr>
                <w:rFonts w:ascii="Times New Roman" w:hAnsi="Times New Roman"/>
                <w:sz w:val="19"/>
                <w:vertAlign w:val="superscript"/>
              </w:rPr>
              <w:t xml:space="preserve">−1</w:t>
            </w:r>
            <w:r>
              <w:rPr>
                <w:rFonts w:ascii="Times New Roman" w:hAnsi="Times New Roman"/>
                <w:sz w:val="19"/>
              </w:rPr>
              <w:t xml:space="preserve">, pool 40k);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gaming molecule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(4.8×);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 s</w:t>
            </w:r>
            <w:r>
              <w:rPr>
                <w:rFonts w:ascii="Times New Roman" w:hAnsi="Times New Roman"/>
                <w:sz w:val="19"/>
                <w:vertAlign w:val="superscript"/>
              </w:rPr>
              <w:t xml:space="preserve">−1</w:t>
            </w: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Section 4.15, D.8</w:t>
            </w:r>
          </w:p>
        </w:tc>
      </w:tr>
    </w:tbl>
    <w:bookmarkEnd w:id="125"/>
    <w:bookmarkEnd w:id="126"/>
    <w:bookmarkStart w:id="194"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2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127"/>
    </w:p>
    <w:p>
      <w:pPr>
        <w:pStyle w:val="ReferenceEntry"/>
        <w:spacing w:after="100"/>
        <w:ind w:left="475" w:hanging="475"/>
        <w:jc w:val="left"/>
        <w:keepNext w:val="0"/>
        <w:keepLines w:val="0"/>
        <w:widowControl w:val="1"/>
      </w:pPr>
      <w:r>
        <w:rPr>
          <w:rFonts w:ascii="Times New Roman" w:hAnsi="Times New Roman"/>
          <w:sz w:val="20"/>
        </w:rPr>
        <w:t xml:space="preserve">2. </w:t>
      </w:r>
      <w:bookmarkStart w:id="12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28"/>
    </w:p>
    <w:p>
      <w:pPr>
        <w:pStyle w:val="ReferenceEntry"/>
        <w:spacing w:after="100"/>
        <w:ind w:left="475" w:hanging="475"/>
        <w:jc w:val="left"/>
        <w:keepNext w:val="0"/>
        <w:keepLines w:val="0"/>
        <w:widowControl w:val="1"/>
      </w:pPr>
      <w:r>
        <w:rPr>
          <w:rFonts w:ascii="Times New Roman" w:hAnsi="Times New Roman"/>
          <w:sz w:val="20"/>
        </w:rPr>
        <w:t xml:space="preserve">3. </w:t>
      </w:r>
      <w:bookmarkStart w:id="12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29"/>
    </w:p>
    <w:p>
      <w:pPr>
        <w:pStyle w:val="ReferenceEntry"/>
        <w:spacing w:after="100"/>
        <w:ind w:left="475" w:hanging="475"/>
        <w:jc w:val="left"/>
        <w:keepNext w:val="0"/>
        <w:keepLines w:val="0"/>
        <w:widowControl w:val="1"/>
      </w:pPr>
      <w:r>
        <w:rPr>
          <w:rFonts w:ascii="Times New Roman" w:hAnsi="Times New Roman"/>
          <w:sz w:val="20"/>
        </w:rPr>
        <w:t xml:space="preserve">4. </w:t>
      </w:r>
      <w:bookmarkStart w:id="130" w:name="ref-kamlet1968detonation"/>
      <w:r>
        <w:t xml:space="preserve">Kamlet, M. J., &amp; Jacobs, S. J. Chemistry of Detonations. I. A Simple Method for Calculating Detonation Properties of C-H-N-O Explosives.</w:t>
      </w:r>
      <w:r>
        <w:t xml:space="preserve"> </w:t>
      </w:r>
      <w:r>
        <w:rPr>
          <w:i/>
          <w:iCs/>
        </w:rPr>
        <w:t xml:space="preserve">J. Chem. Phys.</w:t>
      </w:r>
      <w:r>
        <w:t xml:space="preserve"> </w:t>
      </w:r>
      <w:r>
        <w:rPr>
          <w:b/>
          <w:bCs/>
        </w:rPr>
        <w:t xml:space="preserve">48</w:t>
      </w:r>
      <w:r>
        <w:t xml:space="preserve">, 23–55 (1968). doi:10.1063/1.1667908.</w:t>
      </w:r>
      <w:bookmarkEnd w:id="130"/>
    </w:p>
    <w:p>
      <w:pPr>
        <w:pStyle w:val="ReferenceEntry"/>
        <w:spacing w:after="100"/>
        <w:ind w:left="475" w:hanging="475"/>
        <w:jc w:val="left"/>
        <w:keepNext w:val="0"/>
        <w:keepLines w:val="0"/>
        <w:widowControl w:val="1"/>
      </w:pPr>
      <w:r>
        <w:rPr>
          <w:rFonts w:ascii="Times New Roman" w:hAnsi="Times New Roman"/>
          <w:sz w:val="20"/>
        </w:rPr>
        <w:t xml:space="preserve">5. </w:t>
      </w:r>
      <w:bookmarkStart w:id="13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1"/>
    </w:p>
    <w:p>
      <w:pPr>
        <w:pStyle w:val="ReferenceEntry"/>
        <w:spacing w:after="100"/>
        <w:ind w:left="475" w:hanging="475"/>
        <w:jc w:val="left"/>
        <w:keepNext w:val="0"/>
        <w:keepLines w:val="0"/>
        <w:widowControl w:val="1"/>
      </w:pPr>
      <w:r>
        <w:rPr>
          <w:rFonts w:ascii="Times New Roman" w:hAnsi="Times New Roman"/>
          <w:sz w:val="20"/>
        </w:rPr>
        <w:t xml:space="preserve">6. </w:t>
      </w:r>
      <w:bookmarkStart w:id="132" w:name="ref-sterling2015zinc"/>
      <w:r>
        <w:t xml:space="preserve">Sterling, T., &amp; Irwin, J. J. (2015). ZINC 15: Ligand Discovery for Everyone.</w:t>
      </w:r>
      <w:r>
        <w:t xml:space="preserve"> </w:t>
      </w:r>
      <w:r>
        <w:rPr>
          <w:i/>
          <w:iCs/>
        </w:rPr>
        <w:t xml:space="preserve">J. Chem. Inf. Model. 55(11)</w:t>
      </w:r>
      <w:r>
        <w:t xml:space="preserve">:2324–2337.</w:t>
      </w:r>
      <w:bookmarkEnd w:id="132"/>
    </w:p>
    <w:p>
      <w:pPr>
        <w:pStyle w:val="ReferenceEntry"/>
        <w:spacing w:after="100"/>
        <w:ind w:left="475" w:hanging="475"/>
        <w:jc w:val="left"/>
        <w:keepNext w:val="0"/>
        <w:keepLines w:val="0"/>
        <w:widowControl w:val="1"/>
      </w:pPr>
      <w:r>
        <w:rPr>
          <w:rFonts w:ascii="Times New Roman" w:hAnsi="Times New Roman"/>
          <w:sz w:val="20"/>
        </w:rPr>
        <w:t xml:space="preserve">7. </w:t>
      </w:r>
      <w:bookmarkStart w:id="134" w:name="ref-cameo"/>
      <w:r>
        <w:t xml:space="preserve">NIST CAMEO Chemicals: Database of Hazardous Materials and Reactivity.</w:t>
      </w:r>
      <w:r>
        <w:t xml:space="preserve"> </w:t>
      </w:r>
      <w:hyperlink r:id="rId133">
        <w:r>
          <w:rPr>
            <w:rStyle w:val="Hyperlink"/>
          </w:rPr>
          <w:t xml:space="preserve">cameochemicals.noaa.gov</w:t>
        </w:r>
      </w:hyperlink>
      <w:r>
        <w:t xml:space="preserve">.</w:t>
      </w:r>
      <w:bookmarkEnd w:id="134"/>
    </w:p>
    <w:p>
      <w:pPr>
        <w:pStyle w:val="ReferenceEntry"/>
        <w:spacing w:after="100"/>
        <w:ind w:left="475" w:hanging="475"/>
        <w:jc w:val="left"/>
        <w:keepNext w:val="0"/>
        <w:keepLines w:val="0"/>
        <w:widowControl w:val="1"/>
      </w:pPr>
      <w:r>
        <w:rPr>
          <w:rFonts w:ascii="Times New Roman" w:hAnsi="Times New Roman"/>
          <w:sz w:val="20"/>
        </w:rPr>
        <w:t xml:space="preserve">8. </w:t>
      </w:r>
      <w:bookmarkStart w:id="13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135"/>
    </w:p>
    <w:p>
      <w:pPr>
        <w:pStyle w:val="ReferenceEntry"/>
        <w:spacing w:after="100"/>
        <w:ind w:left="475" w:hanging="475"/>
        <w:jc w:val="left"/>
        <w:keepNext w:val="0"/>
        <w:keepLines w:val="0"/>
        <w:widowControl w:val="1"/>
      </w:pPr>
      <w:r>
        <w:rPr>
          <w:rFonts w:ascii="Times New Roman" w:hAnsi="Times New Roman"/>
          <w:sz w:val="20"/>
        </w:rPr>
        <w:t xml:space="preserve">9. </w:t>
      </w:r>
      <w:bookmarkStart w:id="136" w:name="ref-klapotke2017nitrogen"/>
      <w:r>
        <w:t xml:space="preserve">Klapötke, T. M.</w:t>
      </w:r>
      <w:r>
        <w:t xml:space="preserve"> </w:t>
      </w:r>
      <w:r>
        <w:rPr>
          <w:i/>
          <w:iCs/>
        </w:rPr>
        <w:t xml:space="preserve">Chemistry of High-Energy Materials</w:t>
      </w:r>
      <w:r>
        <w:t xml:space="preserve">, 5th ed. (de Gruyter, 2019). doi:10.1515/9783110624571.</w:t>
      </w:r>
      <w:bookmarkEnd w:id="136"/>
    </w:p>
    <w:p>
      <w:pPr>
        <w:pStyle w:val="ReferenceEntry"/>
        <w:spacing w:after="100"/>
        <w:ind w:left="475" w:hanging="475"/>
        <w:jc w:val="left"/>
        <w:keepNext w:val="0"/>
        <w:keepLines w:val="0"/>
        <w:widowControl w:val="1"/>
      </w:pPr>
      <w:r>
        <w:rPr>
          <w:rFonts w:ascii="Times New Roman" w:hAnsi="Times New Roman"/>
          <w:sz w:val="20"/>
        </w:rPr>
        <w:t xml:space="preserve">10. </w:t>
      </w:r>
      <w:bookmarkStart w:id="137" w:name="ref-kim2023pubchem"/>
      <w:r>
        <w:t xml:space="preserve">Kim, S. et al. (2023). PubChem 2023 Update.</w:t>
      </w:r>
      <w:r>
        <w:t xml:space="preserve"> </w:t>
      </w:r>
      <w:r>
        <w:rPr>
          <w:i/>
          <w:iCs/>
        </w:rPr>
        <w:t xml:space="preserve">Nucleic Acids Res. 51(D1)</w:t>
      </w:r>
      <w:r>
        <w:t xml:space="preserve">:D1373–D1380.</w:t>
      </w:r>
      <w:bookmarkEnd w:id="137"/>
    </w:p>
    <w:p>
      <w:pPr>
        <w:pStyle w:val="ReferenceEntry"/>
        <w:spacing w:after="100"/>
        <w:ind w:left="475" w:hanging="475"/>
        <w:jc w:val="left"/>
        <w:keepNext w:val="0"/>
        <w:keepLines w:val="0"/>
        <w:widowControl w:val="1"/>
      </w:pPr>
      <w:r>
        <w:rPr>
          <w:rFonts w:ascii="Times New Roman" w:hAnsi="Times New Roman"/>
          <w:sz w:val="20"/>
        </w:rPr>
        <w:t xml:space="preserve">11. </w:t>
      </w:r>
      <w:bookmarkStart w:id="13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38"/>
    </w:p>
    <w:p>
      <w:pPr>
        <w:pStyle w:val="ReferenceEntry"/>
        <w:spacing w:after="100"/>
        <w:ind w:left="475" w:hanging="475"/>
        <w:jc w:val="left"/>
        <w:keepNext w:val="0"/>
        <w:keepLines w:val="0"/>
        <w:widowControl w:val="1"/>
      </w:pPr>
      <w:r>
        <w:rPr>
          <w:rFonts w:ascii="Times New Roman" w:hAnsi="Times New Roman"/>
          <w:sz w:val="20"/>
        </w:rPr>
        <w:t xml:space="preserve">12. </w:t>
      </w:r>
      <w:bookmarkStart w:id="139" w:name="ref-huang2021applying"/>
      <w:r>
        <w:t xml:space="preserve">Huang, X. et al. Applying Machine Learning to Balance Performance and Stability of High Energy Density Materials.</w:t>
      </w:r>
      <w:r>
        <w:t xml:space="preserve"> </w:t>
      </w:r>
      <w:r>
        <w:rPr>
          <w:i/>
          <w:iCs/>
        </w:rPr>
        <w:t xml:space="preserve">iScience</w:t>
      </w:r>
      <w:r>
        <w:t xml:space="preserve"> </w:t>
      </w:r>
      <w:r>
        <w:rPr>
          <w:b/>
          <w:bCs/>
        </w:rPr>
        <w:t xml:space="preserve">24</w:t>
      </w:r>
      <w:r>
        <w:t xml:space="preserve">, 102240 (2021).</w:t>
      </w:r>
      <w:bookmarkEnd w:id="139"/>
    </w:p>
    <w:p>
      <w:pPr>
        <w:pStyle w:val="ReferenceEntry"/>
        <w:spacing w:after="100"/>
        <w:ind w:left="475" w:hanging="475"/>
        <w:jc w:val="left"/>
        <w:keepNext w:val="0"/>
        <w:keepLines w:val="0"/>
        <w:widowControl w:val="1"/>
      </w:pPr>
      <w:r>
        <w:rPr>
          <w:rFonts w:ascii="Times New Roman" w:hAnsi="Times New Roman"/>
          <w:sz w:val="20"/>
        </w:rPr>
        <w:t xml:space="preserve">13. </w:t>
      </w:r>
      <w:bookmarkStart w:id="14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40"/>
    </w:p>
    <w:p>
      <w:pPr>
        <w:pStyle w:val="ReferenceEntry"/>
        <w:spacing w:after="100"/>
        <w:ind w:left="475" w:hanging="475"/>
        <w:jc w:val="left"/>
        <w:keepNext w:val="0"/>
        <w:keepLines w:val="0"/>
        <w:widowControl w:val="1"/>
      </w:pPr>
      <w:r>
        <w:rPr>
          <w:rFonts w:ascii="Times New Roman" w:hAnsi="Times New Roman"/>
          <w:sz w:val="20"/>
        </w:rPr>
        <w:t xml:space="preserve">14. </w:t>
      </w:r>
      <w:bookmarkStart w:id="141" w:name="ref-bondi1964vdw"/>
      <w:r>
        <w:t xml:space="preserve">Bondi, A. (1964). van der Waals Volumes and Radii.</w:t>
      </w:r>
      <w:r>
        <w:t xml:space="preserve"> </w:t>
      </w:r>
      <w:r>
        <w:rPr>
          <w:i/>
          <w:iCs/>
        </w:rPr>
        <w:t xml:space="preserve">J. Phys. Chem. 68(3)</w:t>
      </w:r>
      <w:r>
        <w:t xml:space="preserve">:441–451. doi:10.1021/j100785a001.</w:t>
      </w:r>
      <w:bookmarkEnd w:id="141"/>
    </w:p>
    <w:p>
      <w:pPr>
        <w:pStyle w:val="ReferenceEntry"/>
        <w:spacing w:after="100"/>
        <w:ind w:left="475" w:hanging="475"/>
        <w:jc w:val="left"/>
        <w:keepNext w:val="0"/>
        <w:keepLines w:val="0"/>
        <w:widowControl w:val="1"/>
      </w:pPr>
      <w:r>
        <w:rPr>
          <w:rFonts w:ascii="Times New Roman" w:hAnsi="Times New Roman"/>
          <w:sz w:val="20"/>
        </w:rPr>
        <w:t xml:space="preserve">15. </w:t>
      </w:r>
      <w:bookmarkStart w:id="14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42"/>
    </w:p>
    <w:p>
      <w:pPr>
        <w:pStyle w:val="ReferenceEntry"/>
        <w:spacing w:after="100"/>
        <w:ind w:left="475" w:hanging="475"/>
        <w:jc w:val="left"/>
        <w:keepNext w:val="0"/>
        <w:keepLines w:val="0"/>
        <w:widowControl w:val="1"/>
      </w:pPr>
      <w:r>
        <w:rPr>
          <w:rFonts w:ascii="Times New Roman" w:hAnsi="Times New Roman"/>
          <w:sz w:val="20"/>
        </w:rPr>
        <w:t xml:space="preserve">16. </w:t>
      </w:r>
      <w:bookmarkStart w:id="143" w:name="ref-polykovskiy2020moses"/>
      <w:r>
        <w:t xml:space="preserve">Polykovskiy, D. et al. Molecular Sets (MOSES): A Benchmarking Platform for Molecular Generation Models.</w:t>
      </w:r>
      <w:r>
        <w:t xml:space="preserve"> </w:t>
      </w:r>
      <w:r>
        <w:rPr>
          <w:i/>
          <w:iCs/>
        </w:rPr>
        <w:t xml:space="preserve">Frontiers in Pharmacology</w:t>
      </w:r>
      <w:r>
        <w:t xml:space="preserve"> </w:t>
      </w:r>
      <w:r>
        <w:rPr>
          <w:b/>
          <w:bCs/>
        </w:rPr>
        <w:t xml:space="preserve">11</w:t>
      </w:r>
      <w:r>
        <w:t xml:space="preserve">, 565644 (2020). doi:10.3389/fphar.2020.565644.</w:t>
      </w:r>
      <w:bookmarkEnd w:id="143"/>
    </w:p>
    <w:p>
      <w:pPr>
        <w:pStyle w:val="ReferenceEntry"/>
        <w:spacing w:after="100"/>
        <w:ind w:left="475" w:hanging="475"/>
        <w:jc w:val="left"/>
        <w:keepNext w:val="0"/>
        <w:keepLines w:val="0"/>
        <w:widowControl w:val="1"/>
      </w:pPr>
      <w:r>
        <w:rPr>
          <w:rFonts w:ascii="Times New Roman" w:hAnsi="Times New Roman"/>
          <w:sz w:val="20"/>
        </w:rPr>
        <w:t xml:space="preserve">17. </w:t>
      </w:r>
      <w:bookmarkStart w:id="14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44"/>
    </w:p>
    <w:p>
      <w:pPr>
        <w:pStyle w:val="ReferenceEntry"/>
        <w:spacing w:after="100"/>
        <w:ind w:left="475" w:hanging="475"/>
        <w:jc w:val="left"/>
        <w:keepNext w:val="0"/>
        <w:keepLines w:val="0"/>
        <w:widowControl w:val="1"/>
      </w:pPr>
      <w:r>
        <w:rPr>
          <w:rFonts w:ascii="Times New Roman" w:hAnsi="Times New Roman"/>
          <w:sz w:val="20"/>
        </w:rPr>
        <w:t xml:space="preserve">18. </w:t>
      </w:r>
      <w:bookmarkStart w:id="145"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45"/>
    </w:p>
    <w:p>
      <w:pPr>
        <w:pStyle w:val="ReferenceEntry"/>
        <w:spacing w:after="100"/>
        <w:ind w:left="475" w:hanging="475"/>
        <w:jc w:val="left"/>
        <w:keepNext w:val="0"/>
        <w:keepLines w:val="0"/>
        <w:widowControl w:val="1"/>
      </w:pPr>
      <w:r>
        <w:rPr>
          <w:rFonts w:ascii="Times New Roman" w:hAnsi="Times New Roman"/>
          <w:sz w:val="20"/>
        </w:rPr>
        <w:t xml:space="preserve">19. </w:t>
      </w:r>
      <w:bookmarkStart w:id="146"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6"/>
    </w:p>
    <w:p>
      <w:pPr>
        <w:pStyle w:val="ReferenceEntry"/>
        <w:spacing w:after="100"/>
        <w:ind w:left="475" w:hanging="475"/>
        <w:jc w:val="left"/>
        <w:keepNext w:val="0"/>
        <w:keepLines w:val="0"/>
        <w:widowControl w:val="1"/>
      </w:pPr>
      <w:r>
        <w:rPr>
          <w:rFonts w:ascii="Times New Roman" w:hAnsi="Times New Roman"/>
          <w:sz w:val="20"/>
        </w:rPr>
        <w:t xml:space="preserve">20. </w:t>
      </w:r>
      <w:bookmarkStart w:id="147"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7"/>
    </w:p>
    <w:p>
      <w:pPr>
        <w:pStyle w:val="ReferenceEntry"/>
        <w:spacing w:after="100"/>
        <w:ind w:left="475" w:hanging="475"/>
        <w:jc w:val="left"/>
        <w:keepNext w:val="0"/>
        <w:keepLines w:val="0"/>
        <w:widowControl w:val="1"/>
      </w:pPr>
      <w:r>
        <w:rPr>
          <w:rFonts w:ascii="Times New Roman" w:hAnsi="Times New Roman"/>
          <w:sz w:val="20"/>
        </w:rPr>
        <w:t xml:space="preserve">21. </w:t>
      </w:r>
      <w:bookmarkStart w:id="148"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8"/>
    </w:p>
    <w:p>
      <w:pPr>
        <w:pStyle w:val="ReferenceEntry"/>
        <w:spacing w:after="100"/>
        <w:ind w:left="475" w:hanging="475"/>
        <w:jc w:val="left"/>
        <w:keepNext w:val="0"/>
        <w:keepLines w:val="0"/>
        <w:widowControl w:val="1"/>
      </w:pPr>
      <w:r>
        <w:rPr>
          <w:rFonts w:ascii="Times New Roman" w:hAnsi="Times New Roman"/>
          <w:sz w:val="20"/>
        </w:rPr>
        <w:t xml:space="preserve">22. </w:t>
      </w:r>
      <w:bookmarkStart w:id="149" w:name="ref-maziarka2020molcyclegan"/>
      <w:r>
        <w:t xml:space="preserve">Maziarka, Ł., Pocha, A., Kaczmarczyk, J., Rataj, K., Danel, T., &amp; Warchoł, M. Mol-CycleGAN: a generative model for molecular optimization.</w:t>
      </w:r>
      <w:r>
        <w:t xml:space="preserve"> </w:t>
      </w:r>
      <w:r>
        <w:rPr>
          <w:i/>
          <w:iCs/>
        </w:rPr>
        <w:t xml:space="preserve">J. Cheminformatics</w:t>
      </w:r>
      <w:r>
        <w:t xml:space="preserve"> </w:t>
      </w:r>
      <w:r>
        <w:rPr>
          <w:b/>
          <w:bCs/>
        </w:rPr>
        <w:t xml:space="preserve">12</w:t>
      </w:r>
      <w:r>
        <w:t xml:space="preserve">, 2 (2020). doi:10.1186/s13321-019-0404-1.</w:t>
      </w:r>
      <w:bookmarkEnd w:id="149"/>
    </w:p>
    <w:p>
      <w:pPr>
        <w:pStyle w:val="ReferenceEntry"/>
        <w:spacing w:after="100"/>
        <w:ind w:left="475" w:hanging="475"/>
        <w:jc w:val="left"/>
        <w:keepNext w:val="0"/>
        <w:keepLines w:val="0"/>
        <w:widowControl w:val="1"/>
      </w:pPr>
      <w:r>
        <w:rPr>
          <w:rFonts w:ascii="Times New Roman" w:hAnsi="Times New Roman"/>
          <w:sz w:val="20"/>
        </w:rPr>
        <w:t xml:space="preserve">23. </w:t>
      </w:r>
      <w:bookmarkStart w:id="150" w:name="ref-krenn2020selfies"/>
      <w:r>
        <w:t xml:space="preserve">Krenn, M., Häse, F., Nigam, A., Friederich, P., &amp; Aspuru-Guzik, A. Self-Referencing Embedded Strings (SELFIES): A 100% Robust Molecular String Representation.</w:t>
      </w:r>
      <w:r>
        <w:t xml:space="preserve"> </w:t>
      </w:r>
      <w:r>
        <w:rPr>
          <w:i/>
          <w:iCs/>
        </w:rPr>
        <w:t xml:space="preserve">Mach. Learn.: Sci. Tech.</w:t>
      </w:r>
      <w:r>
        <w:t xml:space="preserve"> </w:t>
      </w:r>
      <w:r>
        <w:rPr>
          <w:b/>
          <w:bCs/>
        </w:rPr>
        <w:t xml:space="preserve">1</w:t>
      </w:r>
      <w:r>
        <w:t xml:space="preserve">, 045024 (2020).</w:t>
      </w:r>
      <w:bookmarkEnd w:id="150"/>
    </w:p>
    <w:p>
      <w:pPr>
        <w:pStyle w:val="ReferenceEntry"/>
        <w:spacing w:after="100"/>
        <w:ind w:left="475" w:hanging="475"/>
        <w:jc w:val="left"/>
        <w:keepNext w:val="0"/>
        <w:keepLines w:val="0"/>
        <w:widowControl w:val="1"/>
      </w:pPr>
      <w:r>
        <w:rPr>
          <w:rFonts w:ascii="Times New Roman" w:hAnsi="Times New Roman"/>
          <w:sz w:val="20"/>
        </w:rPr>
        <w:t xml:space="preserve">24. </w:t>
      </w:r>
      <w:bookmarkStart w:id="151"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1"/>
    </w:p>
    <w:p>
      <w:pPr>
        <w:pStyle w:val="ReferenceEntry"/>
        <w:spacing w:after="100"/>
        <w:ind w:left="475" w:hanging="475"/>
        <w:jc w:val="left"/>
        <w:keepNext w:val="0"/>
        <w:keepLines w:val="0"/>
        <w:widowControl w:val="1"/>
      </w:pPr>
      <w:r>
        <w:rPr>
          <w:rFonts w:ascii="Times New Roman" w:hAnsi="Times New Roman"/>
          <w:sz w:val="20"/>
        </w:rPr>
        <w:t xml:space="preserve">25. </w:t>
      </w:r>
      <w:bookmarkStart w:id="152" w:name="ref-reidenbach2023molmim"/>
      <w:r>
        <w:t xml:space="preserve">Reidenbach, D., Livne, M., Ilango, R. K., Gill, M., &amp; Israeli, J. (2023). MolMIM: A Molecular Language Model for Property-Guided Molecule Generation via Mutual Information Machines. (MLDD Workshop, ICLR 2023; arXiv:2208.09016).</w:t>
      </w:r>
      <w:bookmarkEnd w:id="152"/>
    </w:p>
    <w:p>
      <w:pPr>
        <w:pStyle w:val="ReferenceEntry"/>
        <w:spacing w:after="100"/>
        <w:ind w:left="475" w:hanging="475"/>
        <w:jc w:val="left"/>
        <w:keepNext w:val="0"/>
        <w:keepLines w:val="0"/>
        <w:widowControl w:val="1"/>
      </w:pPr>
      <w:r>
        <w:rPr>
          <w:rFonts w:ascii="Times New Roman" w:hAnsi="Times New Roman"/>
          <w:sz w:val="20"/>
        </w:rPr>
        <w:t xml:space="preserve">26. </w:t>
      </w:r>
      <w:bookmarkStart w:id="153" w:name="ref-jaegle2021perceiver"/>
      <w:r>
        <w:t xml:space="preserve">Jaegle, A. et al. (2021). Perceiver: General Perception with Iterative Attention.</w:t>
      </w:r>
      <w:r>
        <w:t xml:space="preserve"> </w:t>
      </w:r>
      <w:r>
        <w:rPr>
          <w:i/>
          <w:iCs/>
        </w:rPr>
        <w:t xml:space="preserve">ICML 2021</w:t>
      </w:r>
      <w:r>
        <w:t xml:space="preserve">. arXiv:2103.03206.</w:t>
      </w:r>
      <w:bookmarkEnd w:id="153"/>
    </w:p>
    <w:p>
      <w:pPr>
        <w:pStyle w:val="ReferenceEntry"/>
        <w:spacing w:after="100"/>
        <w:ind w:left="475" w:hanging="475"/>
        <w:jc w:val="left"/>
        <w:keepNext w:val="0"/>
        <w:keepLines w:val="0"/>
        <w:widowControl w:val="1"/>
      </w:pPr>
      <w:r>
        <w:rPr>
          <w:rFonts w:ascii="Times New Roman" w:hAnsi="Times New Roman"/>
          <w:sz w:val="20"/>
        </w:rPr>
        <w:t xml:space="preserve">27. </w:t>
      </w:r>
      <w:bookmarkStart w:id="154" w:name="ref-olivecrona2017reinvent"/>
      <w:r>
        <w:t xml:space="preserve">Olivecrona, M., Blaschke, T., Engkvist, O., &amp; Chen, H. Molecular de-novo design through deep reinforcement learning.</w:t>
      </w:r>
      <w:r>
        <w:t xml:space="preserve"> </w:t>
      </w:r>
      <w:r>
        <w:rPr>
          <w:i/>
          <w:iCs/>
        </w:rPr>
        <w:t xml:space="preserve">J. Cheminformatics</w:t>
      </w:r>
      <w:r>
        <w:t xml:space="preserve"> </w:t>
      </w:r>
      <w:r>
        <w:rPr>
          <w:b/>
          <w:bCs/>
        </w:rPr>
        <w:t xml:space="preserve">9</w:t>
      </w:r>
      <w:r>
        <w:t xml:space="preserve">, 48 (2017). doi:10.1186/s13321-017-0235-x.</w:t>
      </w:r>
      <w:bookmarkEnd w:id="154"/>
    </w:p>
    <w:p>
      <w:pPr>
        <w:pStyle w:val="ReferenceEntry"/>
        <w:spacing w:after="100"/>
        <w:ind w:left="475" w:hanging="475"/>
        <w:jc w:val="left"/>
        <w:keepNext w:val="0"/>
        <w:keepLines w:val="0"/>
        <w:widowControl w:val="1"/>
      </w:pPr>
      <w:r>
        <w:rPr>
          <w:rFonts w:ascii="Times New Roman" w:hAnsi="Times New Roman"/>
          <w:sz w:val="20"/>
        </w:rPr>
        <w:t xml:space="preserve">28. </w:t>
      </w:r>
      <w:bookmarkStart w:id="155" w:name="ref-loeffler2024reinvent4"/>
      <w:r>
        <w:t xml:space="preserve">Loeffler, H. H., He, J., Tibo, A., Janet, J. P., Voronov, A., Mervin, L. H., &amp; Engkvist, O. REINVENT 4: Modern AI-driven generative molecule design.</w:t>
      </w:r>
      <w:r>
        <w:t xml:space="preserve"> </w:t>
      </w:r>
      <w:r>
        <w:rPr>
          <w:i/>
          <w:iCs/>
        </w:rPr>
        <w:t xml:space="preserve">J. Cheminformatics</w:t>
      </w:r>
      <w:r>
        <w:t xml:space="preserve"> </w:t>
      </w:r>
      <w:r>
        <w:rPr>
          <w:b/>
          <w:bCs/>
        </w:rPr>
        <w:t xml:space="preserve">16</w:t>
      </w:r>
      <w:r>
        <w:t xml:space="preserve">, 20 (2024). doi:10.1186/s13321-024-00812-5.</w:t>
      </w:r>
      <w:bookmarkEnd w:id="155"/>
    </w:p>
    <w:p>
      <w:pPr>
        <w:pStyle w:val="ReferenceEntry"/>
        <w:spacing w:after="100"/>
        <w:ind w:left="475" w:hanging="475"/>
        <w:jc w:val="left"/>
        <w:keepNext w:val="0"/>
        <w:keepLines w:val="0"/>
        <w:widowControl w:val="1"/>
      </w:pPr>
      <w:r>
        <w:rPr>
          <w:rFonts w:ascii="Times New Roman" w:hAnsi="Times New Roman"/>
          <w:sz w:val="20"/>
        </w:rPr>
        <w:t xml:space="preserve">29. </w:t>
      </w:r>
      <w:bookmarkStart w:id="156"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6"/>
    </w:p>
    <w:p>
      <w:pPr>
        <w:pStyle w:val="ReferenceEntry"/>
        <w:spacing w:after="100"/>
        <w:ind w:left="475" w:hanging="475"/>
        <w:jc w:val="left"/>
        <w:keepNext w:val="0"/>
        <w:keepLines w:val="0"/>
        <w:widowControl w:val="1"/>
      </w:pPr>
      <w:r>
        <w:rPr>
          <w:rFonts w:ascii="Times New Roman" w:hAnsi="Times New Roman"/>
          <w:sz w:val="20"/>
        </w:rPr>
        <w:t xml:space="preserve">30. </w:t>
      </w:r>
      <w:bookmarkStart w:id="157"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7"/>
    </w:p>
    <w:p>
      <w:pPr>
        <w:pStyle w:val="ReferenceEntry"/>
        <w:spacing w:after="100"/>
        <w:ind w:left="475" w:hanging="475"/>
        <w:jc w:val="left"/>
        <w:keepNext w:val="0"/>
        <w:keepLines w:val="0"/>
        <w:widowControl w:val="1"/>
      </w:pPr>
      <w:r>
        <w:rPr>
          <w:rFonts w:ascii="Times New Roman" w:hAnsi="Times New Roman"/>
          <w:sz w:val="20"/>
        </w:rPr>
        <w:t xml:space="preserve">31. </w:t>
      </w:r>
      <w:bookmarkStart w:id="158" w:name="ref-ross2022molformer"/>
      <w:r>
        <w:t xml:space="preserve">Ross, J. et al. Large-Scale Chemical Language Representations Capture Molecular Structure and Properties.</w:t>
      </w:r>
      <w:r>
        <w:t xml:space="preserve"> </w:t>
      </w:r>
      <w:r>
        <w:rPr>
          <w:i/>
          <w:iCs/>
        </w:rPr>
        <w:t xml:space="preserve">Nature Machine Intelligence</w:t>
      </w:r>
      <w:r>
        <w:t xml:space="preserve"> </w:t>
      </w:r>
      <w:r>
        <w:rPr>
          <w:b/>
          <w:bCs/>
        </w:rPr>
        <w:t xml:space="preserve">4</w:t>
      </w:r>
      <w:r>
        <w:t xml:space="preserve">, 1256–1264 (2022). doi:10.1038/s42256-022-00580-7.</w:t>
      </w:r>
      <w:bookmarkEnd w:id="158"/>
    </w:p>
    <w:p>
      <w:pPr>
        <w:pStyle w:val="ReferenceEntry"/>
        <w:spacing w:after="100"/>
        <w:ind w:left="475" w:hanging="475"/>
        <w:jc w:val="left"/>
        <w:keepNext w:val="0"/>
        <w:keepLines w:val="0"/>
        <w:widowControl w:val="1"/>
      </w:pPr>
      <w:r>
        <w:rPr>
          <w:rFonts w:ascii="Times New Roman" w:hAnsi="Times New Roman"/>
          <w:sz w:val="20"/>
        </w:rPr>
        <w:t xml:space="preserve">32. </w:t>
      </w:r>
      <w:bookmarkStart w:id="159" w:name="ref-irwin2022chemformer"/>
      <w:r>
        <w:t xml:space="preserve">Irwin, R., Dimitriadis, S., He, J., &amp; Bjerrum, E. J. Chemformer: A Pre-Trained Transformer for Computational Chemistry.</w:t>
      </w:r>
      <w:r>
        <w:t xml:space="preserve"> </w:t>
      </w:r>
      <w:r>
        <w:rPr>
          <w:i/>
          <w:iCs/>
        </w:rPr>
        <w:t xml:space="preserve">Mach. Learn.: Sci. Tech.</w:t>
      </w:r>
      <w:r>
        <w:t xml:space="preserve"> </w:t>
      </w:r>
      <w:r>
        <w:rPr>
          <w:b/>
          <w:bCs/>
        </w:rPr>
        <w:t xml:space="preserve">3</w:t>
      </w:r>
      <w:r>
        <w:t xml:space="preserve">, 015022 (2022). doi:10.1088/2632-2153/ac3ffb.</w:t>
      </w:r>
      <w:bookmarkEnd w:id="159"/>
    </w:p>
    <w:p>
      <w:pPr>
        <w:pStyle w:val="ReferenceEntry"/>
        <w:spacing w:after="100"/>
        <w:ind w:left="475" w:hanging="475"/>
        <w:jc w:val="left"/>
        <w:keepNext w:val="0"/>
        <w:keepLines w:val="0"/>
        <w:widowControl w:val="1"/>
      </w:pPr>
      <w:r>
        <w:rPr>
          <w:rFonts w:ascii="Times New Roman" w:hAnsi="Times New Roman"/>
          <w:sz w:val="20"/>
        </w:rPr>
        <w:t xml:space="preserve">33. </w:t>
      </w:r>
      <w:bookmarkStart w:id="160"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60"/>
    </w:p>
    <w:p>
      <w:pPr>
        <w:pStyle w:val="ReferenceEntry"/>
        <w:spacing w:after="100"/>
        <w:ind w:left="475" w:hanging="475"/>
        <w:jc w:val="left"/>
        <w:keepNext w:val="0"/>
        <w:keepLines w:val="0"/>
        <w:widowControl w:val="1"/>
      </w:pPr>
      <w:r>
        <w:rPr>
          <w:rFonts w:ascii="Times New Roman" w:hAnsi="Times New Roman"/>
          <w:sz w:val="20"/>
        </w:rPr>
        <w:t xml:space="preserve">34. </w:t>
      </w:r>
      <w:bookmarkStart w:id="161" w:name="ref-vignac2023digress"/>
      <w:r>
        <w:t xml:space="preserve">Vignac, C. et al. (2023). DiGress: Discrete Denoising Diffusion for Graph Generation.</w:t>
      </w:r>
      <w:r>
        <w:t xml:space="preserve"> </w:t>
      </w:r>
      <w:r>
        <w:rPr>
          <w:i/>
          <w:iCs/>
        </w:rPr>
        <w:t xml:space="preserve">ICLR 2023</w:t>
      </w:r>
      <w:r>
        <w:t xml:space="preserve">. arXiv:2209.14734.</w:t>
      </w:r>
      <w:bookmarkEnd w:id="161"/>
    </w:p>
    <w:p>
      <w:pPr>
        <w:pStyle w:val="ReferenceEntry"/>
        <w:spacing w:after="100"/>
        <w:ind w:left="475" w:hanging="475"/>
        <w:jc w:val="left"/>
        <w:keepNext w:val="0"/>
        <w:keepLines w:val="0"/>
        <w:widowControl w:val="1"/>
      </w:pPr>
      <w:r>
        <w:rPr>
          <w:rFonts w:ascii="Times New Roman" w:hAnsi="Times New Roman"/>
          <w:sz w:val="20"/>
        </w:rPr>
        <w:t xml:space="preserve">35. </w:t>
      </w:r>
      <w:bookmarkStart w:id="162" w:name="ref-ho2020ddpm"/>
      <w:r>
        <w:t xml:space="preserve">Ho, J., Jain, A., &amp; Abbeel, P. (2020). Denoising Diffusion Probabilistic Models.</w:t>
      </w:r>
      <w:r>
        <w:t xml:space="preserve"> </w:t>
      </w:r>
      <w:r>
        <w:rPr>
          <w:i/>
          <w:iCs/>
        </w:rPr>
        <w:t xml:space="preserve">NeurIPS 2020</w:t>
      </w:r>
      <w:r>
        <w:t xml:space="preserve">. arXiv:2006.11239.</w:t>
      </w:r>
      <w:bookmarkEnd w:id="162"/>
    </w:p>
    <w:p>
      <w:pPr>
        <w:pStyle w:val="ReferenceEntry"/>
        <w:spacing w:after="100"/>
        <w:ind w:left="475" w:hanging="475"/>
        <w:jc w:val="left"/>
        <w:keepNext w:val="0"/>
        <w:keepLines w:val="0"/>
        <w:widowControl w:val="1"/>
      </w:pPr>
      <w:r>
        <w:rPr>
          <w:rFonts w:ascii="Times New Roman" w:hAnsi="Times New Roman"/>
          <w:sz w:val="20"/>
        </w:rPr>
        <w:t xml:space="preserve">36. </w:t>
      </w:r>
      <w:bookmarkStart w:id="163"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3"/>
    </w:p>
    <w:p>
      <w:pPr>
        <w:pStyle w:val="ReferenceEntry"/>
        <w:spacing w:after="100"/>
        <w:ind w:left="475" w:hanging="475"/>
        <w:jc w:val="left"/>
        <w:keepNext w:val="0"/>
        <w:keepLines w:val="0"/>
        <w:widowControl w:val="1"/>
      </w:pPr>
      <w:r>
        <w:rPr>
          <w:rFonts w:ascii="Times New Roman" w:hAnsi="Times New Roman"/>
          <w:sz w:val="20"/>
        </w:rPr>
        <w:t xml:space="preserve">37. </w:t>
      </w:r>
      <w:bookmarkStart w:id="164"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4"/>
    </w:p>
    <w:p>
      <w:pPr>
        <w:pStyle w:val="ReferenceEntry"/>
        <w:spacing w:after="100"/>
        <w:ind w:left="475" w:hanging="475"/>
        <w:jc w:val="left"/>
        <w:keepNext w:val="0"/>
        <w:keepLines w:val="0"/>
        <w:widowControl w:val="1"/>
      </w:pPr>
      <w:r>
        <w:rPr>
          <w:rFonts w:ascii="Times New Roman" w:hAnsi="Times New Roman"/>
          <w:sz w:val="20"/>
        </w:rPr>
        <w:t xml:space="preserve">38. </w:t>
      </w:r>
      <w:bookmarkStart w:id="165"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5"/>
    </w:p>
    <w:p>
      <w:pPr>
        <w:pStyle w:val="ReferenceEntry"/>
        <w:spacing w:after="100"/>
        <w:ind w:left="475" w:hanging="475"/>
        <w:jc w:val="left"/>
        <w:keepNext w:val="0"/>
        <w:keepLines w:val="0"/>
        <w:widowControl w:val="1"/>
      </w:pPr>
      <w:r>
        <w:rPr>
          <w:rFonts w:ascii="Times New Roman" w:hAnsi="Times New Roman"/>
          <w:sz w:val="20"/>
        </w:rPr>
        <w:t xml:space="preserve">39. </w:t>
      </w:r>
      <w:bookmarkStart w:id="166" w:name="ref-ho2022cfg"/>
      <w:r>
        <w:t xml:space="preserve">Ho, J., &amp; Salimans, T. (2022). Classifier-Free Diffusion Guidance. arXiv:2207.12598.</w:t>
      </w:r>
      <w:bookmarkEnd w:id="166"/>
    </w:p>
    <w:p>
      <w:pPr>
        <w:pStyle w:val="ReferenceEntry"/>
        <w:spacing w:after="100"/>
        <w:ind w:left="475" w:hanging="475"/>
        <w:jc w:val="left"/>
        <w:keepNext w:val="0"/>
        <w:keepLines w:val="0"/>
        <w:widowControl w:val="1"/>
      </w:pPr>
      <w:r>
        <w:rPr>
          <w:rFonts w:ascii="Times New Roman" w:hAnsi="Times New Roman"/>
          <w:sz w:val="20"/>
        </w:rPr>
        <w:t xml:space="preserve">40. </w:t>
      </w:r>
      <w:bookmarkStart w:id="167"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7"/>
    </w:p>
    <w:p>
      <w:pPr>
        <w:pStyle w:val="ReferenceEntry"/>
        <w:spacing w:after="100"/>
        <w:ind w:left="475" w:hanging="475"/>
        <w:jc w:val="left"/>
        <w:keepNext w:val="0"/>
        <w:keepLines w:val="0"/>
        <w:widowControl w:val="1"/>
      </w:pPr>
      <w:r>
        <w:rPr>
          <w:rFonts w:ascii="Times New Roman" w:hAnsi="Times New Roman"/>
          <w:sz w:val="20"/>
        </w:rPr>
        <w:t xml:space="preserve">41. </w:t>
      </w:r>
      <w:bookmarkStart w:id="168"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8"/>
    </w:p>
    <w:p>
      <w:pPr>
        <w:pStyle w:val="ReferenceEntry"/>
        <w:spacing w:after="100"/>
        <w:ind w:left="475" w:hanging="475"/>
        <w:jc w:val="left"/>
        <w:keepNext w:val="0"/>
        <w:keepLines w:val="0"/>
        <w:widowControl w:val="1"/>
      </w:pPr>
      <w:r>
        <w:rPr>
          <w:rFonts w:ascii="Times New Roman" w:hAnsi="Times New Roman"/>
          <w:sz w:val="20"/>
        </w:rPr>
        <w:t xml:space="preserve">42. </w:t>
      </w:r>
      <w:bookmarkStart w:id="169"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9"/>
    </w:p>
    <w:p>
      <w:pPr>
        <w:pStyle w:val="ReferenceEntry"/>
        <w:spacing w:after="100"/>
        <w:ind w:left="475" w:hanging="475"/>
        <w:jc w:val="left"/>
        <w:keepNext w:val="0"/>
        <w:keepLines w:val="0"/>
        <w:widowControl w:val="1"/>
      </w:pPr>
      <w:r>
        <w:rPr>
          <w:rFonts w:ascii="Times New Roman" w:hAnsi="Times New Roman"/>
          <w:sz w:val="20"/>
        </w:rPr>
        <w:t xml:space="preserve">43. </w:t>
      </w:r>
      <w:bookmarkStart w:id="170"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70"/>
    </w:p>
    <w:p>
      <w:pPr>
        <w:pStyle w:val="ReferenceEntry"/>
        <w:spacing w:after="100"/>
        <w:ind w:left="475" w:hanging="475"/>
        <w:jc w:val="left"/>
        <w:keepNext w:val="0"/>
        <w:keepLines w:val="0"/>
        <w:widowControl w:val="1"/>
      </w:pPr>
      <w:r>
        <w:rPr>
          <w:rFonts w:ascii="Times New Roman" w:hAnsi="Times New Roman"/>
          <w:sz w:val="20"/>
        </w:rPr>
        <w:t xml:space="preserve">44. </w:t>
      </w:r>
      <w:bookmarkStart w:id="171"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71"/>
    </w:p>
    <w:p>
      <w:pPr>
        <w:pStyle w:val="ReferenceEntry"/>
        <w:spacing w:after="100"/>
        <w:ind w:left="475" w:hanging="475"/>
        <w:jc w:val="left"/>
        <w:keepNext w:val="0"/>
        <w:keepLines w:val="0"/>
        <w:widowControl w:val="1"/>
      </w:pPr>
      <w:r>
        <w:rPr>
          <w:rFonts w:ascii="Times New Roman" w:hAnsi="Times New Roman"/>
          <w:sz w:val="20"/>
        </w:rPr>
        <w:t xml:space="preserve">45. </w:t>
      </w:r>
      <w:bookmarkStart w:id="172"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2"/>
    </w:p>
    <w:p>
      <w:pPr>
        <w:pStyle w:val="ReferenceEntry"/>
        <w:spacing w:after="100"/>
        <w:ind w:left="475" w:hanging="475"/>
        <w:jc w:val="left"/>
        <w:keepNext w:val="0"/>
        <w:keepLines w:val="0"/>
        <w:widowControl w:val="1"/>
      </w:pPr>
      <w:r>
        <w:rPr>
          <w:rFonts w:ascii="Times New Roman" w:hAnsi="Times New Roman"/>
          <w:sz w:val="20"/>
        </w:rPr>
        <w:t xml:space="preserve">46. </w:t>
      </w:r>
      <w:bookmarkStart w:id="173"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3"/>
    </w:p>
    <w:p>
      <w:pPr>
        <w:pStyle w:val="ReferenceEntry"/>
        <w:spacing w:after="100"/>
        <w:ind w:left="475" w:hanging="475"/>
        <w:jc w:val="left"/>
        <w:keepNext w:val="0"/>
        <w:keepLines w:val="0"/>
        <w:widowControl w:val="1"/>
      </w:pPr>
      <w:r>
        <w:rPr>
          <w:rFonts w:ascii="Times New Roman" w:hAnsi="Times New Roman"/>
          <w:sz w:val="20"/>
        </w:rPr>
        <w:t xml:space="preserve">47. </w:t>
      </w:r>
      <w:bookmarkStart w:id="174"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4"/>
    </w:p>
    <w:p>
      <w:pPr>
        <w:pStyle w:val="ReferenceEntry"/>
        <w:spacing w:after="100"/>
        <w:ind w:left="475" w:hanging="475"/>
        <w:jc w:val="left"/>
        <w:keepNext w:val="0"/>
        <w:keepLines w:val="0"/>
        <w:widowControl w:val="1"/>
      </w:pPr>
      <w:r>
        <w:rPr>
          <w:rFonts w:ascii="Times New Roman" w:hAnsi="Times New Roman"/>
          <w:sz w:val="20"/>
        </w:rPr>
        <w:t xml:space="preserve">48. </w:t>
      </w:r>
      <w:bookmarkStart w:id="175"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5"/>
    </w:p>
    <w:p>
      <w:pPr>
        <w:pStyle w:val="ReferenceEntry"/>
        <w:spacing w:after="100"/>
        <w:ind w:left="475" w:hanging="475"/>
        <w:jc w:val="left"/>
        <w:keepNext w:val="0"/>
        <w:keepLines w:val="0"/>
        <w:widowControl w:val="1"/>
      </w:pPr>
      <w:r>
        <w:rPr>
          <w:rFonts w:ascii="Times New Roman" w:hAnsi="Times New Roman"/>
          <w:sz w:val="20"/>
        </w:rPr>
        <w:t xml:space="preserve">49. </w:t>
      </w:r>
      <w:bookmarkStart w:id="176" w:name="ref-zhou2023unimol"/>
      <w:r>
        <w:t xml:space="preserve">Zhou, G. et al. (2023). Uni-Mol: A Universal 3D Molecular Representation Learning Framework.</w:t>
      </w:r>
      <w:r>
        <w:t xml:space="preserve"> </w:t>
      </w:r>
      <w:r>
        <w:rPr>
          <w:i/>
          <w:iCs/>
        </w:rPr>
        <w:t xml:space="preserve">ICLR 2023</w:t>
      </w:r>
      <w:r>
        <w:t xml:space="preserve">.</w:t>
      </w:r>
      <w:bookmarkEnd w:id="176"/>
    </w:p>
    <w:p>
      <w:pPr>
        <w:pStyle w:val="ReferenceEntry"/>
        <w:spacing w:after="100"/>
        <w:ind w:left="475" w:hanging="475"/>
        <w:jc w:val="left"/>
        <w:keepNext w:val="0"/>
        <w:keepLines w:val="0"/>
        <w:widowControl w:val="1"/>
      </w:pPr>
      <w:r>
        <w:rPr>
          <w:rFonts w:ascii="Times New Roman" w:hAnsi="Times New Roman"/>
          <w:sz w:val="20"/>
        </w:rPr>
        <w:t xml:space="preserve">50. </w:t>
      </w:r>
      <w:bookmarkStart w:id="177" w:name="ref-elton2018applying"/>
      <w:r>
        <w:t xml:space="preserve">Elton, D. C., Boukouvalas, Z., Butrico, M. S., Fuge, M. D., &amp; Chung, P. W. Applying Machine Learning Techniques to Predict the Properties of Energetic Materials.</w:t>
      </w:r>
      <w:r>
        <w:t xml:space="preserve"> </w:t>
      </w:r>
      <w:r>
        <w:rPr>
          <w:i/>
          <w:iCs/>
        </w:rPr>
        <w:t xml:space="preserve">Sci. Rep.</w:t>
      </w:r>
      <w:r>
        <w:t xml:space="preserve"> </w:t>
      </w:r>
      <w:r>
        <w:rPr>
          <w:b/>
          <w:bCs/>
        </w:rPr>
        <w:t xml:space="preserve">8</w:t>
      </w:r>
      <w:r>
        <w:t xml:space="preserve">, 9059 (2018).</w:t>
      </w:r>
      <w:bookmarkEnd w:id="177"/>
    </w:p>
    <w:p>
      <w:pPr>
        <w:pStyle w:val="ReferenceEntry"/>
        <w:spacing w:after="100"/>
        <w:ind w:left="475" w:hanging="475"/>
        <w:jc w:val="left"/>
        <w:keepNext w:val="0"/>
        <w:keepLines w:val="0"/>
        <w:widowControl w:val="1"/>
      </w:pPr>
      <w:r>
        <w:rPr>
          <w:rFonts w:ascii="Times New Roman" w:hAnsi="Times New Roman"/>
          <w:sz w:val="20"/>
        </w:rPr>
        <w:t xml:space="preserve">51. </w:t>
      </w:r>
      <w:bookmarkStart w:id="178"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8"/>
    </w:p>
    <w:p>
      <w:pPr>
        <w:pStyle w:val="ReferenceEntry"/>
        <w:spacing w:after="100"/>
        <w:ind w:left="475" w:hanging="475"/>
        <w:jc w:val="left"/>
        <w:keepNext w:val="0"/>
        <w:keepLines w:val="0"/>
        <w:widowControl w:val="1"/>
      </w:pPr>
      <w:r>
        <w:rPr>
          <w:rFonts w:ascii="Times New Roman" w:hAnsi="Times New Roman"/>
          <w:sz w:val="20"/>
        </w:rPr>
        <w:t xml:space="preserve">52. </w:t>
      </w:r>
      <w:bookmarkStart w:id="179"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9"/>
    </w:p>
    <w:p>
      <w:pPr>
        <w:pStyle w:val="ReferenceEntry"/>
        <w:spacing w:after="100"/>
        <w:ind w:left="475" w:hanging="475"/>
        <w:jc w:val="left"/>
        <w:keepNext w:val="0"/>
        <w:keepLines w:val="0"/>
        <w:widowControl w:val="1"/>
      </w:pPr>
      <w:r>
        <w:rPr>
          <w:rFonts w:ascii="Times New Roman" w:hAnsi="Times New Roman"/>
          <w:sz w:val="20"/>
        </w:rPr>
        <w:t xml:space="preserve">53. </w:t>
      </w:r>
      <w:bookmarkStart w:id="180"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80"/>
    </w:p>
    <w:p>
      <w:pPr>
        <w:pStyle w:val="ReferenceEntry"/>
        <w:spacing w:after="100"/>
        <w:ind w:left="475" w:hanging="475"/>
        <w:jc w:val="left"/>
        <w:keepNext w:val="0"/>
        <w:keepLines w:val="0"/>
        <w:widowControl w:val="1"/>
      </w:pPr>
      <w:r>
        <w:rPr>
          <w:rFonts w:ascii="Times New Roman" w:hAnsi="Times New Roman"/>
          <w:sz w:val="20"/>
        </w:rPr>
        <w:t xml:space="preserve">54. </w:t>
      </w:r>
      <w:bookmarkStart w:id="18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81"/>
    </w:p>
    <w:p>
      <w:pPr>
        <w:pStyle w:val="ReferenceEntry"/>
        <w:spacing w:after="100"/>
        <w:ind w:left="475" w:hanging="475"/>
        <w:jc w:val="left"/>
        <w:keepNext w:val="0"/>
        <w:keepLines w:val="0"/>
        <w:widowControl w:val="1"/>
      </w:pPr>
      <w:r>
        <w:rPr>
          <w:rFonts w:ascii="Times New Roman" w:hAnsi="Times New Roman"/>
          <w:sz w:val="20"/>
        </w:rPr>
        <w:t xml:space="preserve">55. </w:t>
      </w:r>
      <w:bookmarkStart w:id="182"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2"/>
    </w:p>
    <w:p>
      <w:pPr>
        <w:pStyle w:val="ReferenceEntry"/>
        <w:spacing w:after="100"/>
        <w:ind w:left="475" w:hanging="475"/>
        <w:jc w:val="left"/>
        <w:keepNext w:val="0"/>
        <w:keepLines w:val="0"/>
        <w:widowControl w:val="1"/>
      </w:pPr>
      <w:r>
        <w:rPr>
          <w:rFonts w:ascii="Times New Roman" w:hAnsi="Times New Roman"/>
          <w:sz w:val="20"/>
        </w:rPr>
        <w:t xml:space="preserve">56. </w:t>
      </w:r>
      <w:bookmarkStart w:id="18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3"/>
    </w:p>
    <w:p>
      <w:pPr>
        <w:pStyle w:val="ReferenceEntry"/>
        <w:spacing w:after="100"/>
        <w:ind w:left="475" w:hanging="475"/>
        <w:jc w:val="left"/>
        <w:keepNext w:val="0"/>
        <w:keepLines w:val="0"/>
        <w:widowControl w:val="1"/>
      </w:pPr>
      <w:r>
        <w:rPr>
          <w:rFonts w:ascii="Times New Roman" w:hAnsi="Times New Roman"/>
          <w:sz w:val="20"/>
        </w:rPr>
        <w:t xml:space="preserve">57. </w:t>
      </w:r>
      <w:bookmarkStart w:id="18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4"/>
    </w:p>
    <w:p>
      <w:pPr>
        <w:pStyle w:val="ReferenceEntry"/>
        <w:spacing w:after="100"/>
        <w:ind w:left="475" w:hanging="475"/>
        <w:jc w:val="left"/>
        <w:keepNext w:val="0"/>
        <w:keepLines w:val="0"/>
        <w:widowControl w:val="1"/>
      </w:pPr>
      <w:r>
        <w:rPr>
          <w:rFonts w:ascii="Times New Roman" w:hAnsi="Times New Roman"/>
          <w:sz w:val="20"/>
        </w:rPr>
        <w:t xml:space="preserve">58. </w:t>
      </w:r>
      <w:bookmarkStart w:id="185" w:name="ref-schutt2018schnet"/>
      <w:r>
        <w:t xml:space="preserve">Schütt, K. T., Sauceda, H. E., Kindermans, P.-J., Tkatchenko, A., &amp; Müller, K.-R. SchNet: A deep learning architecture for molecules and materials.</w:t>
      </w:r>
      <w:r>
        <w:t xml:space="preserve"> </w:t>
      </w:r>
      <w:r>
        <w:rPr>
          <w:i/>
          <w:iCs/>
        </w:rPr>
        <w:t xml:space="preserve">J. Chem. Phys.</w:t>
      </w:r>
      <w:r>
        <w:t xml:space="preserve"> </w:t>
      </w:r>
      <w:r>
        <w:rPr>
          <w:b/>
          <w:bCs/>
        </w:rPr>
        <w:t xml:space="preserve">148</w:t>
      </w:r>
      <w:r>
        <w:t xml:space="preserve">, 241722 (2018). doi:10.1063/1.5019779.</w:t>
      </w:r>
      <w:bookmarkEnd w:id="185"/>
    </w:p>
    <w:p>
      <w:pPr>
        <w:pStyle w:val="ReferenceEntry"/>
        <w:spacing w:after="100"/>
        <w:ind w:left="475" w:hanging="475"/>
        <w:jc w:val="left"/>
        <w:keepNext w:val="0"/>
        <w:keepLines w:val="0"/>
        <w:widowControl w:val="1"/>
      </w:pPr>
      <w:r>
        <w:rPr>
          <w:rFonts w:ascii="Times New Roman" w:hAnsi="Times New Roman"/>
          <w:sz w:val="20"/>
        </w:rPr>
        <w:t xml:space="preserve">59. </w:t>
      </w:r>
      <w:bookmarkStart w:id="186" w:name="ref-qiao2020orbnet"/>
      <w:r>
        <w:t xml:space="preserve">Qiao, Z., Welborn, M., Anandkumar, A., Manby, F. R., &amp; Miller III, T. F. OrbNet: Deep learning for quantum chemistry using symmetry-adapted atomic-orbital features.</w:t>
      </w:r>
      <w:r>
        <w:t xml:space="preserve"> </w:t>
      </w:r>
      <w:r>
        <w:rPr>
          <w:i/>
          <w:iCs/>
        </w:rPr>
        <w:t xml:space="preserve">J. Chem. Phys.</w:t>
      </w:r>
      <w:r>
        <w:t xml:space="preserve"> </w:t>
      </w:r>
      <w:r>
        <w:rPr>
          <w:b/>
          <w:bCs/>
        </w:rPr>
        <w:t xml:space="preserve">153</w:t>
      </w:r>
      <w:r>
        <w:t xml:space="preserve">, 124111 (2020). doi:10.1063/5.0021955.</w:t>
      </w:r>
      <w:bookmarkEnd w:id="186"/>
    </w:p>
    <w:p>
      <w:pPr>
        <w:pStyle w:val="ReferenceEntry"/>
        <w:spacing w:after="100"/>
        <w:ind w:left="475" w:hanging="475"/>
        <w:jc w:val="left"/>
        <w:keepNext w:val="0"/>
        <w:keepLines w:val="0"/>
        <w:widowControl w:val="1"/>
      </w:pPr>
      <w:r>
        <w:rPr>
          <w:rFonts w:ascii="Times New Roman" w:hAnsi="Times New Roman"/>
          <w:sz w:val="20"/>
        </w:rPr>
        <w:t xml:space="preserve">60. </w:t>
      </w:r>
      <w:bookmarkStart w:id="18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7"/>
    </w:p>
    <w:p>
      <w:pPr>
        <w:pStyle w:val="ReferenceEntry"/>
        <w:spacing w:after="100"/>
        <w:ind w:left="475" w:hanging="475"/>
        <w:jc w:val="left"/>
        <w:keepNext w:val="0"/>
        <w:keepLines w:val="0"/>
        <w:widowControl w:val="1"/>
      </w:pPr>
      <w:r>
        <w:rPr>
          <w:rFonts w:ascii="Times New Roman" w:hAnsi="Times New Roman"/>
          <w:sz w:val="20"/>
        </w:rPr>
        <w:t xml:space="preserve">61. </w:t>
      </w:r>
      <w:bookmarkStart w:id="188" w:name="ref-reymond2015gdb"/>
      <w:r>
        <w:t xml:space="preserve">Reymond, J.-L. (2015). The chemical space project.</w:t>
      </w:r>
      <w:r>
        <w:t xml:space="preserve"> </w:t>
      </w:r>
      <w:r>
        <w:rPr>
          <w:i/>
          <w:iCs/>
        </w:rPr>
        <w:t xml:space="preserve">Acc. Chem. Res. 48(3)</w:t>
      </w:r>
      <w:r>
        <w:t xml:space="preserve">:722–730.</w:t>
      </w:r>
      <w:bookmarkEnd w:id="188"/>
    </w:p>
    <w:p>
      <w:pPr>
        <w:pStyle w:val="ReferenceEntry"/>
        <w:spacing w:after="100"/>
        <w:ind w:left="475" w:hanging="475"/>
        <w:jc w:val="left"/>
        <w:keepNext w:val="0"/>
        <w:keepLines w:val="0"/>
        <w:widowControl w:val="1"/>
      </w:pPr>
      <w:r>
        <w:rPr>
          <w:rFonts w:ascii="Times New Roman" w:hAnsi="Times New Roman"/>
          <w:sz w:val="20"/>
        </w:rPr>
        <w:t xml:space="preserve">62. </w:t>
      </w:r>
      <w:bookmarkStart w:id="189" w:name="ref-ertl2009sa"/>
      <w:r>
        <w:t xml:space="preserve">Ertl, P., &amp; Schuffenhauer, A. Estimation of Synthetic Accessibility Score of Drug-Like Molecules Based on Molecular Complexity and Fragment Contributions.</w:t>
      </w:r>
      <w:r>
        <w:t xml:space="preserve"> </w:t>
      </w:r>
      <w:r>
        <w:rPr>
          <w:i/>
          <w:iCs/>
        </w:rPr>
        <w:t xml:space="preserve">J. Cheminform.</w:t>
      </w:r>
      <w:r>
        <w:t xml:space="preserve"> </w:t>
      </w:r>
      <w:r>
        <w:rPr>
          <w:b/>
          <w:bCs/>
        </w:rPr>
        <w:t xml:space="preserve">1</w:t>
      </w:r>
      <w:r>
        <w:t xml:space="preserve">, 8 (2009).</w:t>
      </w:r>
      <w:bookmarkEnd w:id="189"/>
    </w:p>
    <w:p>
      <w:pPr>
        <w:pStyle w:val="ReferenceEntry"/>
        <w:spacing w:after="100"/>
        <w:ind w:left="475" w:hanging="475"/>
        <w:jc w:val="left"/>
        <w:keepNext w:val="0"/>
        <w:keepLines w:val="0"/>
        <w:widowControl w:val="1"/>
      </w:pPr>
      <w:r>
        <w:rPr>
          <w:rFonts w:ascii="Times New Roman" w:hAnsi="Times New Roman"/>
          <w:sz w:val="20"/>
        </w:rPr>
        <w:t xml:space="preserve">63. </w:t>
      </w:r>
      <w:bookmarkStart w:id="19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0"/>
    </w:p>
    <w:p>
      <w:pPr>
        <w:pStyle w:val="ReferenceEntry"/>
        <w:spacing w:after="100"/>
        <w:ind w:left="475" w:hanging="475"/>
        <w:jc w:val="left"/>
        <w:keepNext w:val="0"/>
        <w:keepLines w:val="0"/>
        <w:widowControl w:val="1"/>
      </w:pPr>
      <w:r>
        <w:rPr>
          <w:rFonts w:ascii="Times New Roman" w:hAnsi="Times New Roman"/>
          <w:sz w:val="20"/>
        </w:rPr>
        <w:t xml:space="preserve">64. </w:t>
      </w:r>
      <w:bookmarkStart w:id="191" w:name="ref-rogers1960computer"/>
      <w:r>
        <w:t xml:space="preserve">Rogers, D. J., &amp; Tanimoto, T. T. (1960). A Computer Program for Classifying Plants.</w:t>
      </w:r>
      <w:r>
        <w:t xml:space="preserve"> </w:t>
      </w:r>
      <w:r>
        <w:rPr>
          <w:i/>
          <w:iCs/>
        </w:rPr>
        <w:t xml:space="preserve">Science 132(3434)</w:t>
      </w:r>
      <w:r>
        <w:t xml:space="preserve">:1115–1118.</w:t>
      </w:r>
      <w:bookmarkEnd w:id="191"/>
    </w:p>
    <w:p>
      <w:pPr>
        <w:pStyle w:val="ReferenceEntry"/>
        <w:spacing w:after="100"/>
        <w:ind w:left="475" w:hanging="475"/>
        <w:jc w:val="left"/>
        <w:keepNext w:val="0"/>
        <w:keepLines w:val="0"/>
        <w:widowControl w:val="1"/>
      </w:pPr>
      <w:r>
        <w:rPr>
          <w:rFonts w:ascii="Times New Roman" w:hAnsi="Times New Roman"/>
          <w:sz w:val="20"/>
        </w:rPr>
        <w:t xml:space="preserve">65. </w:t>
      </w:r>
      <w:bookmarkStart w:id="192" w:name="ref-sun2020pyscf"/>
      <w:r>
        <w:t xml:space="preserve">Sun, Q., Zhang, X., Banerjee, S., Bao, P., et al. Recent developments in the PySCF program package.</w:t>
      </w:r>
      <w:r>
        <w:t xml:space="preserve"> </w:t>
      </w:r>
      <w:r>
        <w:rPr>
          <w:i/>
          <w:iCs/>
        </w:rPr>
        <w:t xml:space="preserve">J. Chem. Phys.</w:t>
      </w:r>
      <w:r>
        <w:t xml:space="preserve"> </w:t>
      </w:r>
      <w:r>
        <w:rPr>
          <w:b/>
          <w:bCs/>
        </w:rPr>
        <w:t xml:space="preserve">153</w:t>
      </w:r>
      <w:r>
        <w:t xml:space="preserve">, 024109 (2020). doi:10.1063/5.0006074.</w:t>
      </w:r>
      <w:bookmarkEnd w:id="192"/>
    </w:p>
    <w:p>
      <w:pPr>
        <w:pStyle w:val="ReferenceEntry"/>
        <w:spacing w:after="100"/>
        <w:ind w:left="475" w:hanging="475"/>
        <w:jc w:val="left"/>
        <w:keepNext w:val="0"/>
        <w:keepLines w:val="0"/>
        <w:widowControl w:val="1"/>
      </w:pPr>
      <w:r>
        <w:rPr>
          <w:rFonts w:ascii="Times New Roman" w:hAnsi="Times New Roman"/>
          <w:sz w:val="20"/>
        </w:rPr>
        <w:t xml:space="preserve">66. </w:t>
      </w:r>
      <w:bookmarkStart w:id="193" w:name="ref-genheden2020aizynth"/>
      <w:r>
        <w:t xml:space="preserve">Genheden, S., Thakkar, A., Chadimová, V., Reymond, J.-L., Engkvist, O., &amp; Bjerrum, E. J. AiZynthFinder: a fast, robust and flexible open-source software for retrosynthetic planning.</w:t>
      </w:r>
      <w:r>
        <w:t xml:space="preserve"> </w:t>
      </w:r>
      <w:r>
        <w:rPr>
          <w:i/>
          <w:iCs/>
        </w:rPr>
        <w:t xml:space="preserve">Journal of Cheminformatics</w:t>
      </w:r>
      <w:r>
        <w:t xml:space="preserve"> </w:t>
      </w:r>
      <w:r>
        <w:rPr>
          <w:b/>
          <w:bCs/>
        </w:rPr>
        <w:t xml:space="preserve">12</w:t>
      </w:r>
      <w:r>
        <w:t xml:space="preserve">, 70 (2020). doi:10.1186/s13321-020-00472-1.</w:t>
      </w:r>
      <w:bookmarkEnd w:id="193"/>
    </w:p>
    <w:bookmarkEnd w:id="194"/>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119" Type="http://schemas.openxmlformats.org/officeDocument/2006/relationships/image" Target="media/rId119.png"/><Relationship Id="rId56" Type="http://schemas.openxmlformats.org/officeDocument/2006/relationships/image" Target="media/rId56.png"/><Relationship Id="rId83" Type="http://schemas.openxmlformats.org/officeDocument/2006/relationships/image" Target="media/rId83.png"/><Relationship Id="rId87" Type="http://schemas.openxmlformats.org/officeDocument/2006/relationships/image" Target="media/rId87.png"/><Relationship Id="rId91" Type="http://schemas.openxmlformats.org/officeDocument/2006/relationships/image" Target="media/rId91.png"/><Relationship Id="rId107" Type="http://schemas.openxmlformats.org/officeDocument/2006/relationships/image" Target="media/rId107.png"/><Relationship Id="rId111" Type="http://schemas.openxmlformats.org/officeDocument/2006/relationships/image" Target="media/rId111.png"/><Relationship Id="rId95" Type="http://schemas.openxmlformats.org/officeDocument/2006/relationships/image" Target="media/rId95.png"/><Relationship Id="rId99" Type="http://schemas.openxmlformats.org/officeDocument/2006/relationships/image" Target="media/rId99.png"/><Relationship Id="rId103" Type="http://schemas.openxmlformats.org/officeDocument/2006/relationships/image" Target="media/rId103.png"/><Relationship Id="rId115" Type="http://schemas.openxmlformats.org/officeDocument/2006/relationships/image" Target="media/rId115.png"/><Relationship Id="rId23" Type="http://schemas.openxmlformats.org/officeDocument/2006/relationships/image" Target="media/rId23.png"/><Relationship Id="rId59" Type="http://schemas.openxmlformats.org/officeDocument/2006/relationships/image" Target="media/rId59.png"/><Relationship Id="rId38" Type="http://schemas.openxmlformats.org/officeDocument/2006/relationships/image" Target="media/rId38.png"/><Relationship Id="rId26" Type="http://schemas.openxmlformats.org/officeDocument/2006/relationships/image" Target="media/rId26.png"/><Relationship Id="rId62" Type="http://schemas.openxmlformats.org/officeDocument/2006/relationships/image" Target="media/rId62.png"/><Relationship Id="rId11" Type="http://schemas.openxmlformats.org/officeDocument/2006/relationships/image" Target="media/rId1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70" Type="http://schemas.openxmlformats.org/officeDocument/2006/relationships/image" Target="media/rId70.png"/><Relationship Id="rId66" Type="http://schemas.openxmlformats.org/officeDocument/2006/relationships/image" Target="media/rId66.png"/><Relationship Id="rId133"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3"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2026-08-03T15:16:41Z</dcterms:created>
  <dcterms:modified xsi:type="dcterms:W3CDTF">2026-08-03T15:16:41Z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