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Department of Intelligent Systems, Afeka Tel-Aviv College of Engineering, Israel.</w:t>
      </w:r>
      <w:r>
        <w:rPr>
          <w:sz w:val="20"/>
        </w:rPr>
        <w:t xml:space="preserve"> </w:t>
      </w:r>
      <w:r>
        <w:rPr>
          <w:sz w:val="20"/>
          <w:vertAlign w:val="superscript"/>
        </w:rPr>
        <w:t xml:space="preserve">2</w:t>
      </w:r>
      <w:r>
        <w:rPr>
          <w:sz w:val="20"/>
        </w:rPr>
        <w:t xml:space="preserve">School of Computer Science, Faculty of Sciences, HIT-Holon Institute of Technology, Israel.</w:t>
      </w:r>
    </w:p>
    <w:bookmarkEnd w:id="9"/>
    <w:bookmarkStart w:id="46" w:name="sec-app"/>
    <w:p>
      <w:pPr>
        <w:pStyle w:val="Heading2"/>
        <w:keepNext/>
        <w:keepLines/>
        <w:widowControl w:val="1"/>
      </w:pPr>
      <w:r>
        <w:t xml:space="preserve">Appendix</w:t>
      </w:r>
    </w:p>
    <w:bookmarkStart w:id="15" w:name="a.-dataset-details"/>
    <w:p>
      <w:pPr>
        <w:pStyle w:val="Heading3"/>
        <w:keepNext/>
        <w:keepLines/>
        <w:widowControl w:val="1"/>
      </w:pPr>
      <w:r>
        <w:t xml:space="preserve">A. Dataset details</w:t>
      </w:r>
    </w:p>
    <w:bookmarkStart w:id="10" w:name="a.1-data-sources-and-provenance"/>
    <w:p>
      <w:pPr>
        <w:pStyle w:val="Heading4"/>
        <w:keepNext/>
        <w:keepLines/>
        <w:widowControl w:val="1"/>
      </w:pPr>
      <w:r>
        <w:t xml:space="preserve">A.1 Data sources and provenance</w:t>
      </w:r>
    </w:p>
    <w:p>
      <w:pPr>
        <w:pStyle w:val="FirstParagraph"/>
        <w:jc w:val="both"/>
        <w:keepNext w:val="0"/>
        <w:keepLines w:val="0"/>
        <w:widowControl w:val="1"/>
      </w:pPr>
      <w: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BodyText"/>
        <w:jc w:val="both"/>
        <w:keepNext w:val="0"/>
        <w:keepLines w:val="0"/>
        <w:widowControl w:val="1"/>
      </w:pPr>
      <w:r>
        <w:rPr>
          <w:b/>
          <w:bCs/>
        </w:rPr>
        <w:t xml:space="preserve">Table A.1.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 (energetics)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Hand-compilation of experimental</w:t>
            </w:r>
            <w:r>
              <w:rPr>
                <w:rFonts w:ascii="Times New Roman" w:hAnsi="Times New Roman"/>
                <w:sz w:val="20"/>
              </w:rPr>
              <w:t xml:space="preserve"> </w:t>
            </w:r>
            <m:oMath>
              <m:r>
                <m:t>ρ</m:t>
              </m:r>
            </m:oMath>
            <w:r>
              <w:rPr>
                <w:rFonts w:ascii="Times New Roman" w:hAnsi="Times New Roman"/>
                <w:sz w:val="20"/>
              </w:rPr>
              <w:t xml:space="preserve">, HOF,</w:t>
            </w:r>
            <w:r>
              <w:rPr>
                <w:rFonts w:ascii="Times New Roman" w:hAnsi="Times New Roman"/>
                <w:sz w:val="20"/>
              </w:rPr>
              <w:t xml:space="preserve"> </w:t>
            </w:r>
            <m:oMath>
              <m:r>
                <m:t>D</m:t>
              </m:r>
            </m:oMath>
            <w:r>
              <w:rPr>
                <w:rFonts w:ascii="Times New Roman" w:hAnsi="Times New Roman"/>
                <w:sz w:val="20"/>
              </w:rPr>
              <w:t xml:space="preserve">,</w:t>
            </w:r>
            <w:r>
              <w:rPr>
                <w:rFonts w:ascii="Times New Roman" w:hAnsi="Times New Roman"/>
                <w:sz w:val="20"/>
              </w:rPr>
              <w:t xml:space="preserve"> </w:t>
            </w:r>
            <m:oMath>
              <m:r>
                <m:t>P</m:t>
              </m:r>
            </m:oMath>
            <w:r>
              <w:rPr>
                <w:rFonts w:ascii="Times New Roman" w:hAnsi="Times New Roman"/>
                <w:sz w:val="20"/>
              </w:rPr>
              <w:t xml:space="preserve"> </w:t>
            </w:r>
            <w:r>
              <w:rPr>
                <w:rFonts w:ascii="Times New Roman" w:hAnsi="Times New Roman"/>
                <w:sz w:val="20"/>
              </w:rPr>
              <w:t xml:space="preserve">for known nitro / nitramine / azide / tetrazole compounds, drawn from Klapötke (2019), Cooper (1996), and the LLNL Explosives Handbook (Dobratz &amp; Crawford 1985)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Casey et al. 2020 detonation-property dataset (curated CHNO + CHNOClF subset, B3LYP/6-31G* HOF + experimentally-anchored densities)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rows: density and HOF from literature compilations propagated through the K-J equation to give surrogate</w:t>
            </w:r>
            <w:r>
              <w:rPr>
                <w:rFonts w:ascii="Times New Roman" w:hAnsi="Times New Roman"/>
                <w:sz w:val="20"/>
              </w:rPr>
              <w:t xml:space="preserve"> </w:t>
            </w:r>
            <m:oMath>
              <m:r>
                <m:t>D</m:t>
              </m:r>
              <m:r>
                <m:rPr>
                  <m:sty m:val="p"/>
                </m:rPr>
                <m:t>,</m:t>
              </m:r>
              <m: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 (in-house ensemble trained on the union of A+B+C, eight outputs, 5-fold CV</w:t>
            </w:r>
            <w:r>
              <w:rPr>
                <w:rFonts w:ascii="Times New Roman" w:hAnsi="Times New Roman"/>
                <w:sz w:val="20"/>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20"/>
              </w:rPr>
              <w:t xml:space="preserve">) used to label rows that have no other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 for viability classifier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ZINC-15 random subsample (drug-like, neutral, MW &lt; 500), used as inert chemistry against which the RandomForest viability classifier is trained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Hard 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Cheats mined from earlier generation pools (gem-tetranitro on small rings, polyazene chains, trinitromethane, gem-dinitrocyclopropane, etc.), encoded through LIMO and used as viab=0 latents in 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 §4.8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SMARTS catalog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NIST CAMEO Chemicals reactivity database + ChemAxon “dangerous reactivity” SMARTS, distilled into the Bruns–Watson demerit catalog used by the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 (rules)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20"/>
              </w:rPr>
              <w:t xml:space="preserve">,</w:t>
            </w:r>
            <w:r>
              <w:rPr>
                <w:rFonts w:ascii="Times New Roman" w:hAnsi="Times New Roman"/>
                <w:sz w:val="20"/>
              </w:rPr>
              <w:t xml:space="preserve"> </w:t>
            </w:r>
            <w:hyperlink w:anchor="ref-bruns2020watson">
              <w:r>
                <w:rPr>
                  <w:rStyle w:val="Hyperlink"/>
                </w:rPr>
                <w:t xml:space="preserve">[64]</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Unlabelled domain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Augmented CHNO / CHNOClF SMILES dump assembled from public energetic-chemistry compilations (Klapötke reviews, patent-extracted SMILES, energetic-materials review papers); used only for the unconditional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Motif-augmented expansion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Programmatic substitution of nitro, nitramine, azide, cyano, tetrazole, oxadiazole groups onto the labelled master scaffolds, then re-canonicalised and de-duplicated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 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(only used in unlabelled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novelty database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PubChem 2023 (PUG REST query on canonical SMILES) used to assess novelty of generated leads, not for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Stability triage tool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xTB 6.6.1 (GFN2-xTB) used at sample-time triage on top leads (</w:t>
            </w:r>
            <m:oMath>
              <m:r>
                <m:rPr>
                  <m:sty m:val="p"/>
                </m:rPr>
                <m:t>≤</m:t>
              </m:r>
            </m:oMath>
            <w:r>
              <w:rPr>
                <w:rFonts w:ascii="Times New Roman" w:hAnsi="Times New Roman"/>
                <w:sz w:val="20"/>
              </w:rPr>
              <w:t xml:space="preserve">100 candidates), not in the training 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BodyText"/>
        <w:spacing w:before="16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§5.4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bookmarkEnd w:id="10"/>
    <w:bookmarkStart w:id="14" w:name="a.2-data-preprocessing-details"/>
    <w:p>
      <w:pPr>
        <w:pStyle w:val="Heading4"/>
        <w:keepNext/>
        <w:keepLines/>
        <w:widowControl w:val="1"/>
      </w:pPr>
      <w:r>
        <w:t xml:space="preserve">A.2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vertAlign w:val="superscript"/>
        </w:rPr>
        <w:t xml:space="preserve">3</w:t>
      </w:r>
      <w: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Figure A.1.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Heading3"/>
        <w:keepNext/>
        <w:keepLines/>
        <w:widowControl w:val="1"/>
      </w:pPr>
      <w:r>
        <w:t xml:space="preserve">B. Model architecture and hyperparameter values</w:t>
      </w:r>
    </w:p>
    <w:p>
      <w:pPr>
        <w:pStyle w:val="FirstParagraph"/>
        <w:jc w:val="both"/>
        <w:keepNext w:val="0"/>
        <w:keepLines w:val="0"/>
        <w:widowControl w:val="1"/>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7)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9) is a 44.6 M-parameter FiLM-ResNet that reverses a 1000-step cosine DDPM in latent space; the production sampler runs two such denoisers in parallel (DGLD-H + DGLD-P, §4.5). (3) The</w:t>
      </w:r>
      <w:r>
        <w:t xml:space="preserve"> </w:t>
      </w:r>
      <w:r>
        <w:rPr>
          <w:b/>
          <w:bCs/>
        </w:rPr>
        <w:t xml:space="preserve">multi-task score model</w:t>
      </w:r>
      <w:r>
        <w:t xml:space="preserve"> </w:t>
      </w:r>
      <w: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BodyText"/>
        <w:jc w:val="both"/>
        <w:keepNext w:val="0"/>
        <w:keepLines w:val="0"/>
        <w:widowControl w:val="1"/>
      </w:pPr>
      <w:r>
        <w:rPr>
          <w:b/>
          <w:bCs/>
        </w:rPr>
        <w:t xml:space="preserve">Table B.1a.</w:t>
      </w:r>
      <w:r>
        <w:t xml:space="preserve"> </w:t>
      </w:r>
      <w: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SELFIES-VAE (Fig 4a)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SELFIES max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Vocabulary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Linear(72·64=4608→2000)–ReLU–Linear(2000→1000)–BN1d–ReLU–Linear(1000→1000)–BN1d–ReLU–Linear(1000→2·1024)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Linear(1024→1000)–BN1d–ReLU–Linear(1000→1000)–BN1d–ReLU–Linear(1000→2000)–ReLU–Linear(2000→72·108=7776)</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ReLU (encoder &amp; decoder hidden); log-softmax over vocab on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NLL reconstruction + β·KL (standard VAE ELBO; free-bits disabled)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KL weight β</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(constant)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~8500 on 326 k energetic-biased SMILES</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combo_bundle/limo_model.py</w:t>
            </w:r>
            <w:r>
              <w:rPr>
                <w:rFonts w:ascii="Times New Roman" w:hAnsi="Times New Roman"/>
                <w:sz w:val="20"/>
              </w:rPr>
              <w:t xml:space="preserve"> </w:t>
            </w:r>
            <w:r>
              <w:rPr>
                <w:rFonts w:ascii="Times New Roman" w:hAnsi="Times New Roman"/>
                <w:sz w:val="20"/>
              </w:rPr>
              <w:t xml:space="preserve">(LIMOVAE class)</w:t>
            </w:r>
          </w:p>
        </w:tc>
      </w:tr>
    </w:tbl>
    <w:p/>
    <w:p>
      <w:pPr>
        <w:pStyle w:val="BodyText"/>
        <w:jc w:val="both"/>
        <w:keepNext w:val="0"/>
        <w:keepLines w:val="0"/>
        <w:widowControl w:val="1"/>
      </w:pPr>
      <w:r>
        <w:rPr>
          <w:b/>
          <w:bCs/>
        </w:rPr>
        <w:t xml:space="preserve">Table B.1b.</w:t>
      </w:r>
      <w:r>
        <w:t xml:space="preserve"> </w:t>
      </w:r>
      <w: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ε</w:t>
            </w:r>
            <w:r>
              <w:rPr>
                <w:rFonts w:ascii="Times New Roman" w:hAnsi="Times New Roman"/>
                <w:sz w:val="20"/>
                <w:vertAlign w:val="subscript"/>
              </w:rPr>
              <w:t xml:space="preserve">θ</w:t>
            </w:r>
            <w:r>
              <w:rPr>
                <w:rFonts w:ascii="Times New Roman" w:hAnsi="Times New Roman"/>
                <w:sz w:val="20"/>
              </w:rPr>
              <w:t xml:space="preserve"> </w:t>
            </w:r>
            <w:r>
              <w:rPr>
                <w:rFonts w:ascii="Times New Roman" w:hAnsi="Times New Roman"/>
                <w:sz w:val="20"/>
              </w:rPr>
              <w:t xml:space="preserve">(DGLD-P; Fig 4c)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FiLM-modulated ResNet, 8 residual blocks, latent 1024, hidden 2048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LayerNorm–Linear(1024→2048)–FiLM(γ,β)–SiLU–Linear(2048→1024)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44.6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Time-embed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 (sinusoidal → 2-layer MLP)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 per property × 4 properties = 256, plus learned mask token</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masked MSE on predicted noise ε with mask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 (diffusion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(cosine schedule, Nichol &amp; Dhariwal)</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EMA decay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1e-4 / 1e-4 (cosine decay)</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cfg-dropout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property-dropout rate (DGLD-P)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oversample-extreme factor / quantile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5×–10× above 90th percentile (high tail; matches §3.2)</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Multi-task score model (Fig 4e1, 4f)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latent 1024, hidden 1024, σ-embed 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Linear(1024→1024)–LayerNorm–FiLM(σ-emb→(γ,β) over 1024)–SiLU–Dropout(0.1)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embedding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Linear(1→128)–SiLU–Linear(128→128)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Heads (6, parallel on 1024-d trunk)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Linear(1024→256)–SiLU–Linear(256→d</w:t>
            </w:r>
            <w:r>
              <w:rPr>
                <w:rFonts w:ascii="Times New Roman" w:hAnsi="Times New Roman"/>
                <w:sz w:val="20"/>
                <w:vertAlign w:val="subscript"/>
              </w:rPr>
              <w:t xml:space="preserve">k</w:t>
            </w:r>
            <w:r>
              <w:rPr>
                <w:rFonts w:ascii="Times New Roman" w:hAnsi="Times New Roman"/>
                <w:sz w:val="20"/>
              </w:rPr>
              <w:t xml:space="preserve">); d</w:t>
            </w:r>
            <w:r>
              <w:rPr>
                <w:rFonts w:ascii="Times New Roman" w:hAnsi="Times New Roman"/>
                <w:sz w:val="20"/>
                <w:vertAlign w:val="subscript"/>
              </w:rPr>
              <w:t xml:space="preserve">k</w:t>
            </w:r>
            <w:r>
              <w:rPr>
                <w:rFonts w:ascii="Times New Roman" w:hAnsi="Times New Roman"/>
                <w:sz w:val="20"/>
              </w:rPr>
              <w:t xml:space="preserve">=1 for viability/SA/SC/sensitivity/hazard; d</w:t>
            </w:r>
            <w:r>
              <w:rPr>
                <w:rFonts w:ascii="Times New Roman" w:hAnsi="Times New Roman"/>
                <w:sz w:val="20"/>
                <w:vertAlign w:val="subscript"/>
              </w:rPr>
              <w:t xml:space="preserve">k</w:t>
            </w:r>
            <w:r>
              <w:rPr>
                <w:rFonts w:ascii="Times New Roman" w:hAnsi="Times New Roman"/>
                <w:sz w:val="20"/>
              </w:rPr>
              <w:t xml:space="preserve">=4 for performance (ρ, HOF, D, 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 (trunk); sigmoid on viability/hazard logits at use-time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BCE-with-logits (viability, hazard); smooth-L1 on z-scored target (SA, SC, sensitivity, performance), performance masked to Tier-A/B</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Noise-level curriculum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 U(0, σ</w:t>
            </w:r>
            <w:r>
              <w:rPr>
                <w:rFonts w:ascii="Times New Roman" w:hAnsi="Times New Roman"/>
                <w:sz w:val="20"/>
                <w:vertAlign w:val="subscript"/>
              </w:rPr>
              <w:t xml:space="preserve">max</w:t>
            </w:r>
            <w:r>
              <w:rPr>
                <w:rFonts w:ascii="Times New Roman" w:hAnsi="Times New Roman"/>
                <w:sz w:val="20"/>
              </w:rPr>
              <w:t xml:space="preserve">=2.0) per batch; z</w:t>
            </w:r>
            <w:r>
              <w:rPr>
                <w:rFonts w:ascii="Times New Roman" w:hAnsi="Times New Roman"/>
                <w:sz w:val="20"/>
                <w:vertAlign w:val="subscript"/>
              </w:rPr>
              <w:t xml:space="preserve">t</w:t>
            </w:r>
            <w:r>
              <w:rPr>
                <w:rFonts w:ascii="Times New Roman" w:hAnsi="Times New Roman"/>
                <w:sz w:val="20"/>
              </w:rPr>
              <w:t xml:space="preserve">=z</w:t>
            </w:r>
            <w:r>
              <w:rPr>
                <w:rFonts w:ascii="Times New Roman" w:hAnsi="Times New Roman"/>
                <w:sz w:val="20"/>
                <w:vertAlign w:val="subscript"/>
              </w:rPr>
              <w:t xml:space="preserve">0</w:t>
            </w:r>
            <w:r>
              <w:rPr>
                <w:rFonts w:ascii="Times New Roman" w:hAnsi="Times New Roman"/>
                <w:sz w:val="20"/>
              </w:rPr>
              <w:t xml:space="preserve">+σ·ε</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2e-4 / 1e-4 (cosine decay), grad-norm clip 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 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~40k AdamW steps / batch 1024 (matches §4.7)</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Sample-time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autograd of head losses w.r.t. z</w:t>
            </w:r>
            <w:r>
              <w:rPr>
                <w:rFonts w:ascii="Times New Roman" w:hAnsi="Times New Roman"/>
                <w:sz w:val="20"/>
                <w:vertAlign w:val="subscript"/>
              </w:rPr>
              <w:t xml:space="preserve">t</w:t>
            </w:r>
            <w:r>
              <w:rPr>
                <w:rFonts w:ascii="Times New Roman" w:hAnsi="Times New Roman"/>
                <w:sz w:val="20"/>
              </w:rPr>
              <w:t xml:space="preserve">; per-head clamp + alpha-anneal disabled (§4.7)</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combo_bundle/train_multihead_latent.py</w:t>
            </w:r>
            <w:r>
              <w:rPr>
                <w:rFonts w:ascii="Times New Roman" w:hAnsi="Times New Roman"/>
                <w:sz w:val="20"/>
              </w:rPr>
              <w:t xml:space="preserve"> </w:t>
            </w:r>
            <w:r>
              <w:rPr>
                <w:rFonts w:ascii="Times New Roman" w:hAnsi="Times New Roman"/>
                <w:sz w:val="20"/>
              </w:rPr>
              <w:t xml:space="preserve">(MultiHeadScoreModel)</w:t>
            </w:r>
          </w:p>
        </w:tc>
      </w:tr>
    </w:tbl>
    <w:p/>
    <w:p>
      <w:pPr>
        <w:pStyle w:val="BodyText"/>
        <w:jc w:val="both"/>
        <w:keepNext w:val="0"/>
        <w:keepLines w:val="0"/>
        <w:widowControl w:val="1"/>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Random-Forest viability classifier (training-label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Algorithm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scikit-learn RandomForestClassifier (CPU)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n_estimators / max_depth / min_samples_leaf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 / 22 / 4 (v2-hardneg; v1 uses CLI flags: see code)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 weight / random_state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balanced / 42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Feature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~2089 = 2048 Morgan FP (radius 2) + 10 RDKit descriptors + 11 derived CHNO/OB features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data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k labelled energetics positives vs 80 k ZINC-250k random negatives + mined hard negatives (§B.1)</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AUC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0.9986 (v2-hardneg test split)</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smoke-model ensemble (training-label source &amp; Stage-1 scorer)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Uni-Mol v1 (Zhou et al. 2023) regression head, 2-fold scaffold-CV ensemble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 M per fold × 2 folds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Inputs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conformer atom-coordinate set (Uni-Mol native); not a raw voxel grid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Outputs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 D, P, det-temperature T, det-energy E, det-volume V, HOF, BDE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R</w:t>
            </w:r>
            <w:r>
              <w:rPr>
                <w:rFonts w:ascii="Times New Roman" w:hAnsi="Times New Roman"/>
                <w:sz w:val="20"/>
                <w:vertAlign w:val="super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0.84–0.92 (5-fold CV, per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Wrapper /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scripts/diffusion/unimol_validator.py</w:t>
            </w:r>
            <w:r>
              <w:rPr>
                <w:rFonts w:ascii="Times New Roman" w:hAnsi="Times New Roman"/>
                <w:sz w:val="20"/>
              </w:rPr>
              <w:t xml:space="preserve">; reset every 80 batches</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Re-ranking (Stage 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Tanimoto window</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(0.20, 0.55)</w:t>
            </w:r>
          </w:p>
        </w:tc>
      </w:tr>
    </w:tbl>
    <w:p>
      <w:pPr>
        <w:pStyle w:val="BodyText"/>
        <w:spacing w:before="160"/>
        <w:jc w:val="both"/>
        <w:keepNext w:val="0"/>
        <w:keepLines w:val="0"/>
        <w:widowControl w:val="1"/>
      </w:pPr>
      <w:r>
        <w:rPr>
          <w:b/>
          <w:bCs/>
        </w:rPr>
        <w:t xml:space="preserve">B.1 Hard-negative augmentation (self-distillation).</w:t>
      </w:r>
    </w:p>
    <w:p>
      <w:pPr>
        <w:pStyle w:val="BodyText"/>
        <w:jc w:val="both"/>
        <w:keepNext w:val="0"/>
        <w:keepLines w:val="0"/>
        <w:widowControl w:val="1"/>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§4.5).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score model is trained over three rounds (Fig 12):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Appendix D.9 reports an early variant (137 cheats) versus the production variant (918 cheats).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§4.5). The score model after round 2 (corpus + 918 hard negatives) is the production checkpoint used in §5.</w:t>
      </w:r>
    </w:p>
    <w:p>
      <w:pPr>
        <w:pStyle w:val="BodyText"/>
        <w:jc w:val="both"/>
        <w:keepNext w:val="0"/>
        <w:keepLines w:val="0"/>
        <w:widowControl w:val="1"/>
      </w:pPr>
      <w:r>
        <w:rPr>
          <w:b/>
          <w:bCs/>
        </w:rPr>
        <w:t xml:space="preserve">Procedure summary.</w:t>
      </w:r>
      <w:r>
        <w:t xml:space="preserve"> </w:t>
      </w:r>
      <w:r>
        <w:t xml:space="preserve">The protocol of Fig 12 in five steps, repeated for at most three rounds:</w:t>
      </w:r>
    </w:p>
    <w:p>
      <w:pPr>
        <w:pStyle w:val="Compact"/>
        <w:numPr>
          <w:ilvl w:val="0"/>
          <w:numId w:val="1001"/>
        </w:numPr>
        <w:jc w:val="both"/>
        <w:keepNext w:val="0"/>
        <w:keepLines w:val="0"/>
        <w:widowControl w:val="1"/>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numPr>
          <w:ilvl w:val="0"/>
          <w:numId w:val="1001"/>
        </w:numPr>
        <w:jc w:val="both"/>
        <w:keepNext w:val="0"/>
        <w:keepLines w:val="0"/>
        <w:widowControl w:val="1"/>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numPr>
          <w:ilvl w:val="0"/>
          <w:numId w:val="1001"/>
        </w:numPr>
        <w:jc w:val="both"/>
        <w:keepNext w:val="0"/>
        <w:keepLines w:val="0"/>
        <w:widowControl w:val="1"/>
      </w:pPr>
      <w:r>
        <w:rPr>
          <w:b/>
          <w:bCs/>
        </w:rPr>
        <w:t xml:space="preserve">Sample</w:t>
      </w:r>
      <w:r>
        <w:t xml:space="preserve"> </w:t>
      </w:r>
      <w:r>
        <w:t xml:space="preserve">a candidate pool from the diffusion model using the current score-model's guidance.</w:t>
      </w:r>
    </w:p>
    <w:p>
      <w:pPr>
        <w:pStyle w:val="Compact"/>
        <w:numPr>
          <w:ilvl w:val="0"/>
          <w:numId w:val="1001"/>
        </w:numPr>
        <w:jc w:val="both"/>
        <w:keepNext w:val="0"/>
        <w:keepLines w:val="0"/>
        <w:widowControl w:val="1"/>
      </w:pPr>
      <w:r>
        <w:rPr>
          <w:b/>
          <w:bCs/>
        </w:rPr>
        <w:t xml:space="preserve">Mine</w:t>
      </w:r>
      <w:r>
        <w:t xml:space="preserve"> </w:t>
      </w:r>
      <w:r>
        <w:t xml:space="preserve">false positives: high predicted viability but rejected by the chem-curated SMARTS gate.</w:t>
      </w:r>
    </w:p>
    <w:p>
      <w:pPr>
        <w:pStyle w:val="Compact"/>
        <w:numPr>
          <w:ilvl w:val="0"/>
          <w:numId w:val="1001"/>
        </w:numPr>
        <w:jc w:val="both"/>
        <w:keepNext w:val="0"/>
        <w:keepLines w:val="0"/>
        <w:widowControl w:val="1"/>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FirstParagraph"/>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§7.1)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BodyText"/>
        <w:jc w:val="both"/>
        <w:keepNext w:val="0"/>
        <w:keepLines w:val="0"/>
        <w:widowControl w:val="1"/>
      </w:pPr>
      <w:r>
        <w:rPr>
          <w:b/>
          <w:bCs/>
        </w:rPr>
        <w:t xml:space="preserve">B.2 Sensitivity head: heuristic vs literature-grounded variants.</w:t>
      </w:r>
      <w:r>
        <w:t xml:space="preserve"> </w:t>
      </w:r>
      <w:r>
        <w:t xml:space="preserve">The default 5-head score model trains the sensitivity head against the hand-coded heuristic of Appendix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[58a]</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BodyText"/>
        <w:jc w:val="both"/>
        <w:keepNext w:val="0"/>
        <w:keepLines w:val="0"/>
        <w:widowControl w:val="1"/>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BodyText"/>
        <w:jc w:val="both"/>
        <w:keepNext w:val="0"/>
        <w:keepLines w:val="0"/>
        <w:widowControl w:val="1"/>
      </w:pPr>
      <w:r>
        <w:rPr>
          <w:b/>
          <w:bCs/>
        </w:rPr>
        <w:t xml:space="preserve">B.4 Drug-domain transfer heads (SA, SC).</w:t>
      </w:r>
      <w:r>
        <w:t xml:space="preserve"> </w:t>
      </w:r>
      <w: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(Appendix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§4.7 Architecture (drug-domain transfer paragraph); §4.7 Sample-time gradient (the "Why</w:t>
      </w:r>
      <w:r>
        <w:t xml:space="preserve"> </w:t>
      </w:r>
      <m:oMath>
        <m:sSub>
          <m:e>
            <m:r>
              <m:t>s</m:t>
            </m:r>
          </m:e>
          <m:sub>
            <m:r>
              <m:rPr>
                <m:nor/>
                <m:sty m:val="p"/>
              </m:rPr>
              <m:t>SA</m:t>
            </m:r>
          </m:sub>
        </m:sSub>
        <m:r>
          <m:rPr>
            <m:sty m:val="p"/>
          </m:rPr>
          <m:t>=</m:t>
        </m:r>
        <m:r>
          <m:t>0</m:t>
        </m:r>
      </m:oMath>
      <w:r>
        <w:t xml:space="preserve"> </w:t>
      </w:r>
      <w:r>
        <w:t xml:space="preserve">and where SC is" paragraph); §F.4 Multi-seed pattern (the SA-C3-vs-SA-C2 numerical result). This appendix consolidates them.</w:t>
      </w:r>
    </w:p>
    <w:bookmarkStart w:id="17" w:name="b.5-production-recipe-table-b.5"/>
    <w:p>
      <w:pPr>
        <w:pStyle w:val="Heading4"/>
        <w:keepNext/>
        <w:keepLines/>
        <w:widowControl w:val="1"/>
      </w:pPr>
      <w:r>
        <w:t xml:space="preserve">B.5 Production recipe (Table B.5)</w:t>
      </w:r>
    </w:p>
    <w:p>
      <w:pPr>
        <w:pStyle w:val="FirstParagraph"/>
        <w:jc w:val="both"/>
        <w:keepNext w:val="0"/>
        <w:keepLines w:val="0"/>
        <w:widowControl w:val="1"/>
      </w:pPr>
      <w:r>
        <w:t xml:space="preserve">Complete configuration used throughout §5.2–§5.5. Each knob traces to the §5.6 ablation (or §4.12 hyperparameter sweep) that selected it.</w:t>
      </w:r>
    </w:p>
    <w:bookmarkStart w:id="16" w:name="table-c5"/>
    <w:p>
      <w:pPr>
        <w:pStyle w:val="BodyText"/>
        <w:jc w:val="both"/>
        <w:keepNext w:val="0"/>
        <w:keepLines w:val="0"/>
        <w:widowControl w:val="1"/>
      </w:pPr>
      <w:r>
        <w:rPr>
          <w:b/>
          <w:bCs/>
        </w:rPr>
        <w:t xml:space="preserve">Table B.5.</w:t>
      </w:r>
      <w:r>
        <w:t xml:space="preserve"> </w:t>
      </w:r>
      <w: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Generative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VAE + conditional latent DDPM with classifier-free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ensemble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DGLD-H + DGLD-P, pools fused post-decode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 §F.4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 scale 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 Fig 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DDIM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prior-art default; not separately swept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Pool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oMath>
            <w:r>
              <w:rPr>
                <w:rFonts w:ascii="Times New Roman" w:hAnsi="Times New Roman"/>
                <w:sz w:val="20"/>
              </w:rPr>
              <w:t xml:space="preserve"> </w:t>
            </w:r>
            <w:r>
              <w:rPr>
                <w:rFonts w:ascii="Times New Roman" w:hAnsi="Times New Roman"/>
                <w:sz w:val="20"/>
              </w:rPr>
              <w:t xml:space="preserve">40k per denoiser, fused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§F.5; §4.12, Fig 17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trunk, 6 heads, multi-task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 §F.1 (HN budget = 918)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 steering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Viability (</w:t>
            </w:r>
            <m:oMath>
              <m:r>
                <m:t>s</m:t>
              </m:r>
              <m:r>
                <m:rPr>
                  <m:sty m:val="p"/>
                </m:rPr>
                <m:t>=</m:t>
              </m:r>
              <m:r>
                <m:t>1.0</m:t>
              </m:r>
            </m:oMath>
            <w:r>
              <w:rPr>
                <w:rFonts w:ascii="Times New Roman" w:hAnsi="Times New Roman"/>
                <w:sz w:val="20"/>
              </w:rPr>
              <w:t xml:space="preserve">), Sensitivity (</w:t>
            </w:r>
            <m:oMath>
              <m:r>
                <m:t>s</m:t>
              </m:r>
              <m:r>
                <m:rPr>
                  <m:sty m:val="p"/>
                </m:rPr>
                <m:t>=</m:t>
              </m:r>
              <m:r>
                <m:t>0.3</m:t>
              </m:r>
            </m:oMath>
            <w:r>
              <w:rPr>
                <w:rFonts w:ascii="Times New Roman" w:hAnsi="Times New Roman"/>
                <w:sz w:val="20"/>
              </w:rPr>
              <w:t xml:space="preserve">), Hazard (</w:t>
            </w:r>
            <m:oMath>
              <m:r>
                <m:t>s</m:t>
              </m:r>
              <m:r>
                <m:rPr>
                  <m:sty m:val="p"/>
                </m:rP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§F.3, §F.4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Inactive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Performance, SA, SC (auxiliary multi-task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Anneal / clamp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20"/>
              </w:rPr>
              <w:t xml:space="preserve">,</w:t>
            </w:r>
            <w:r>
              <w:rPr>
                <w:rFonts w:ascii="Times New Roman" w:hAnsi="Times New Roman"/>
                <w:sz w:val="20"/>
              </w:rPr>
              <w:t xml:space="preserve"> </w:t>
            </w:r>
            <m:oMath>
              <m:sSub>
                <m:e>
                  <m:r>
                    <m:t>C</m:t>
                  </m:r>
                </m:e>
                <m:sub>
                  <m:r>
                    <m:t>g</m:t>
                  </m:r>
                </m:sub>
              </m:sSub>
              <m:r>
                <m:rPr>
                  <m:sty m:val="p"/>
                </m:rPr>
                <m:t>=</m:t>
              </m:r>
              <m:r>
                <m:t>50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 Appendix D.5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Chemist-curated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Pareto reranker on 4 axes, composite tie-break, top-K = 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GFN2-xTB, HOMO–LUMO gap</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1.5 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 chemist-set threshold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DFT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B3LYP/6-31G(d) opt +</w:t>
            </w:r>
            <w:r>
              <w:rPr>
                <w:rFonts w:ascii="Times New Roman" w:hAnsi="Times New Roman"/>
                <w:sz w:val="20"/>
              </w:rPr>
              <w:t xml:space="preserve"> </w:t>
            </w:r>
            <m:oMath>
              <m:r>
                <m:t>ω</m:t>
              </m:r>
            </m:oMath>
            <w:r>
              <w:rPr>
                <w:rFonts w:ascii="Times New Roman" w:hAnsi="Times New Roman"/>
                <w:sz w:val="20"/>
              </w:rPr>
              <w:t xml:space="preserve">B97X-D3BJ/def2-TZVP single-point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 Appendix 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calibration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6-anchor LOO fit:</w:t>
            </w:r>
            <w:r>
              <w:rPr>
                <w:rFonts w:ascii="Times New Roman" w:hAnsi="Times New Roman"/>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20"/>
              </w:rPr>
              <w:t xml:space="preserve">, HOF</w:t>
            </w:r>
            <m:oMath>
              <m:sSub>
                <m:e>
                  <m:r>
                    <m:t>​</m:t>
                  </m:r>
                </m:e>
                <m:sub>
                  <m:r>
                    <m:rPr>
                      <m:nor/>
                      <m:sty m:val="p"/>
                    </m:rPr>
                    <m:t>cal</m:t>
                  </m:r>
                </m:sub>
              </m:sSub>
            </m:oMath>
            <w:r>
              <w:rPr>
                <w:rFonts w:ascii="Times New Roman" w:hAnsi="Times New Roman"/>
                <w:sz w:val="20"/>
              </w:rPr>
              <w:t xml:space="preserve"> </w:t>
            </w:r>
            <w:r>
              <w:rPr>
                <w:rFonts w:ascii="Times New Roman" w:hAnsi="Times New Roman"/>
                <w:sz w:val="20"/>
              </w:rPr>
              <w:t xml:space="preserve">= HOF</w:t>
            </w:r>
            <m:oMath>
              <m:sSub>
                <m:e>
                  <m:r>
                    <m:t>​</m:t>
                  </m:r>
                </m:e>
                <m:sub>
                  <m:r>
                    <m:rPr>
                      <m:nor/>
                      <m:sty m:val="p"/>
                    </m:rPr>
                    <m:t>DFT</m:t>
                  </m:r>
                </m:sub>
              </m:sSub>
              <m:r>
                <m:rPr>
                  <m:sty m:val="p"/>
                </m:rPr>
                <m:t>−</m:t>
              </m:r>
              <m:r>
                <m:t>206.7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 Appendix C.4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K-J recompute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Closed-form K-J on calibrated</w:t>
            </w:r>
            <w:r>
              <w:rPr>
                <w:rFonts w:ascii="Times New Roman" w:hAnsi="Times New Roman"/>
                <w:sz w:val="20"/>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20"/>
              </w:rPr>
              <w:t xml:space="preserve">; ranking-grade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 Appendix C.5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Reranker property scoring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perf_score(</w:t>
            </w:r>
            <m:oMath>
              <m:r>
                <m:t>ρ</m:t>
              </m:r>
            </m:oMath>
            <w:r>
              <w:rPr>
                <w:rStyle w:val="VerbatimChar"/>
                <w:rFonts w:ascii="Times New Roman" w:hAnsi="Times New Roman"/>
                <w:sz w:val="20"/>
              </w:rPr>
              <w:t xml:space="preserve">, HOF, </w:t>
            </w:r>
            <m:oMath>
              <m:r>
                <m:t>D</m:t>
              </m:r>
            </m:oMath>
            <w:r>
              <w:rPr>
                <w:rStyle w:val="VerbatimChar"/>
                <w:rFonts w:ascii="Times New Roman" w:hAnsi="Times New Roman"/>
                <w:sz w:val="20"/>
              </w:rPr>
              <w:t xml:space="preserve">, </w:t>
            </w:r>
            <m:oMath>
              <m:r>
                <m:t>P</m:t>
              </m:r>
            </m:oMath>
            <w:r>
              <w:rPr>
                <w:rStyle w:val="VerbatimCha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ramp on 3D-CNN smoke ensemble outputs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bl>
    <w:bookmarkEnd w:id="16"/>
    <w:bookmarkEnd w:id="17"/>
    <w:bookmarkEnd w:id="18"/>
    <w:bookmarkStart w:id="20" w:name="X7e317108d30eb1339186cc7c3dfc8e61aec6ead"/>
    <w:p>
      <w:pPr>
        <w:pStyle w:val="Heading3"/>
        <w:keepNext/>
        <w:keepLines/>
        <w:widowControl w:val="1"/>
      </w:pPr>
      <w:r>
        <w:t xml:space="preserve">C. First-principles audit (DFT) methodology and uncertainty bounds</w:t>
      </w:r>
    </w:p>
    <w:p>
      <w:pPr>
        <w:pStyle w:val="FirstParagraph"/>
        <w:jc w:val="both"/>
        <w:keepNext w:val="0"/>
        <w:keepLines w:val="0"/>
        <w:widowControl w:val="1"/>
      </w:pPr>
      <w: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BodyText"/>
        <w:jc w:val="both"/>
        <w:keepNext w:val="0"/>
        <w:keepLines w:val="0"/>
        <w:widowControl w:val="1"/>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[15]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BodyText"/>
        <w:jc w:val="both"/>
        <w:keepNext w:val="0"/>
        <w:keepLines w:val="0"/>
        <w:widowControl w:val="1"/>
      </w:pPr>
      <w:r>
        <w:rPr>
          <w:b/>
          <w:bCs/>
        </w:rPr>
        <w:t xml:space="preserve">C.2 Thermal correction to 298 K.</w:t>
      </w:r>
      <w:r>
        <w:t xml:space="preserve"> </w:t>
      </w:r>
      <w:r>
        <w:t xml:space="preserve">All HOFs in §5.3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kJ/mol)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kJ/mol).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kJ/mol, smaller than the</w:t>
      </w:r>
      <w:r>
        <w:t xml:space="preserve"> </w:t>
      </w:r>
      <m:oMath>
        <m:r>
          <m:rPr>
            <m:sty m:val="p"/>
          </m:rPr>
          <m:t>±</m:t>
        </m:r>
        <m:r>
          <m:t>64.6</m:t>
        </m:r>
      </m:oMath>
      <w: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BodyText"/>
        <w:jc w:val="both"/>
        <w:keepNext w:val="0"/>
        <w:keepLines w:val="0"/>
        <w:widowControl w:val="1"/>
      </w:pPr>
      <w:r>
        <w:rPr>
          <w:b/>
          <w:bCs/>
        </w:rPr>
        <w:t xml:space="preserve">C.3 Calibration uncertainty: literature bias bands.</w:t>
      </w:r>
      <w:r>
        <w:t xml:space="preserve"> </w:t>
      </w:r>
      <w:r>
        <w:t xml:space="preserve">The 6-anchor LOO RMS quoted in §5.3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[Goerigk2017]</w:t>
        </w:r>
      </w:hyperlink>
      <w:r>
        <w:t xml:space="preserve"> </w:t>
      </w:r>
      <w:r>
        <w:t xml:space="preserve">place the systematic atomization-energy bias of B3LYP with a double-zeta polarised basis at approximately 5–15 kJ/mol per atom, which scales to</w:t>
      </w:r>
      <w:r>
        <w:t xml:space="preserve"> </w:t>
      </w:r>
      <m:oMath>
        <m:r>
          <m:rPr>
            <m:sty m:val="p"/>
          </m:rPr>
          <m:t>∼</m:t>
        </m:r>
      </m:oMath>
      <w:r>
        <w:t xml:space="preserve">100–250 kJ/mol at the molecular level for our 15–25-atom leads, consistent with the +170 to +224 kJ/mol offsets we observe at the RDX/TATB anchors. Casey et al.</w:t>
      </w:r>
      <w:r>
        <w:t xml:space="preserve"> </w:t>
      </w:r>
      <w:hyperlink w:anchor="ref-casey2020prediction">
        <w:r>
          <w:rPr>
            <w:rStyle w:val="Hyperlink"/>
          </w:rPr>
          <w:t xml:space="preserve">[15]</w:t>
        </w:r>
      </w:hyperlink>
      <w:r>
        <w:t xml:space="preserve"> </w:t>
      </w:r>
      <w:r>
        <w:t xml:space="preserve">report B3LYP/6-31G* HOF residuals on a CHNO test set with molecule-level RMSE in the</w:t>
      </w:r>
      <w:r>
        <w:t xml:space="preserve"> </w:t>
      </w:r>
      <m:oMath>
        <m:r>
          <m:rPr>
            <m:sty m:val="p"/>
          </m:rPr>
          <m:t>∼</m:t>
        </m:r>
      </m:oMath>
      <w:r>
        <w:t xml:space="preserve">30–50 kJ/mol band (</w:t>
      </w:r>
      <m:oMath>
        <m:r>
          <m:rPr>
            <m:sty m:val="p"/>
          </m:rPr>
          <m:t>∼</m:t>
        </m:r>
      </m:oMath>
      <w:r>
        <w:t xml:space="preserve">5–10 kJ/mol per heavy atom), which is the closest published analogue to our setup and which we adopt as the residual-uncertainty band on calibrated HOFs in §5.3. For density, the Bondi van-der-Waals volume estimator</w:t>
      </w:r>
      <w:r>
        <w:t xml:space="preserve"> </w:t>
      </w:r>
      <w:hyperlink w:anchor="ref-bondi1964vdw">
        <w:r>
          <w:rPr>
            <w:rStyle w:val="Hyperlink"/>
          </w:rPr>
          <w:t xml:space="preserve">[Bondi1964]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BodyText"/>
        <w:jc w:val="both"/>
        <w:keepNext w:val="0"/>
        <w:keepLines w:val="0"/>
        <w:widowControl w:val="1"/>
      </w:pPr>
      <w:r>
        <w:rPr>
          <w:b/>
          <w:bCs/>
        </w:rPr>
        <w:t xml:space="preserve">C.4 6-anchor calibration.</w:t>
      </w:r>
      <w:r>
        <w:t xml:space="preserve"> </w:t>
      </w:r>
      <w:r>
        <w:t xml:space="preserve">The 6-anchor calibration on (RDX, TATB, HMX, PETN, FOX-7, NTO)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 HOF</w:t>
      </w:r>
      <m:oMath>
        <m:sSub>
          <m:e>
            <m:r>
              <m:t>​</m:t>
            </m:r>
          </m:e>
          <m:sub>
            <m:r>
              <m:rPr>
                <m:nor/>
                <m:sty m:val="p"/>
              </m:rPr>
              <m:t>DFT</m:t>
            </m:r>
          </m:sub>
        </m:sSub>
        <m:r>
          <m:rPr>
            <m:sty m:val="p"/>
          </m:rPr>
          <m:t>−</m:t>
        </m:r>
        <m:r>
          <m:t>206.7</m:t>
        </m:r>
      </m:oMath>
      <w:r>
        <w:t xml:space="preserve"> kJ/mol, with leave-one-out RMS residuals of</w:t>
      </w:r>
      <w:r>
        <w:t xml:space="preserve"> </w:t>
      </w:r>
      <m:oMath>
        <m:r>
          <m:rPr>
            <m:sty m:val="p"/>
          </m:rPr>
          <m:t>±</m:t>
        </m:r>
        <m:r>
          <m:t>0.078</m:t>
        </m:r>
      </m:oMath>
      <w:r>
        <w:t xml:space="preserve"> g/cm</w:t>
      </w:r>
      <w:r>
        <w:rPr>
          <w:vertAlign w:val="superscript"/>
        </w:rPr>
        <w:t xml:space="preserve">3</w:t>
      </w:r>
      <w:r>
        <w:t xml:space="preserve"> </w:t>
      </w:r>
      <w:r>
        <w:t xml:space="preserve">on calibrated</w:t>
      </w:r>
      <w:r>
        <w:t xml:space="preserve"> </w:t>
      </w:r>
      <m:oMath>
        <m:r>
          <m:t>ρ</m:t>
        </m:r>
      </m:oMath>
      <w:r>
        <w:t xml:space="preserve"> </w:t>
      </w:r>
      <w:r>
        <w:t xml:space="preserve">and</w:t>
      </w:r>
      <w:r>
        <w:t xml:space="preserve"> </w:t>
      </w:r>
      <m:oMath>
        <m:r>
          <m:rPr>
            <m:sty m:val="p"/>
          </m:rPr>
          <m:t>±</m:t>
        </m:r>
        <m:r>
          <m:t>64.6</m:t>
        </m:r>
      </m:oMath>
      <w:r>
        <w:t xml:space="preserve"> kJ/mol on calibrated HOF.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kJ/mol 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BodyText"/>
        <w:jc w:val="both"/>
        <w:keepNext w:val="0"/>
        <w:keepLines w:val="0"/>
        <w:widowControl w:val="1"/>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BodyText"/>
        <w:jc w:val="both"/>
        <w:keepNext w:val="0"/>
        <w:keepLines w:val="0"/>
        <w:widowControl w:val="1"/>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6</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419.1</w:t>
            </w:r>
          </w:p>
        </w:tc>
      </w:tr>
    </w:tbl>
    <w:p>
      <w:pPr>
        <w:pStyle w:val="BodyText"/>
        <w:spacing w:before="16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BodyText"/>
        <w:jc w:val="both"/>
        <w:keepNext w:val="0"/>
        <w:keepLines w:val="0"/>
        <w:widowControl w:val="1"/>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kJ/mol (6-anchor RDX/TATB/HMX/PETN/FOX-7/NTO fit; LOO RMS ±0.078 g/cm</w:t>
      </w:r>
      <w:r>
        <w:rPr>
          <w:vertAlign w:val="superscript"/>
        </w:rPr>
        <w:t xml:space="preserve">3</w:t>
      </w:r>
      <w:r>
        <w:t xml:space="preserve"> </w:t>
      </w:r>
      <w:r>
        <w:t xml:space="preserve">on ρ and ±64.6 kJ/mol 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[huang2021]</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kcal/mol).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50,model</w:t>
            </w:r>
            <w:r>
              <w:rPr>
                <w:rFonts w:ascii="Times New Roman" w:hAnsi="Times New Roman"/>
                <w:b/>
                <w:sz w:val="19"/>
              </w:rPr>
              <w:t xml:space="preserve"> </w:t>
            </w:r>
            <w:r>
              <w:rPr>
                <w:rFonts w:ascii="Times New Roman" w:hAnsi="Times New Roman"/>
                <w:b/>
                <w:sz w:val="19"/>
              </w:rPr>
              <w:t xml:space="preserve">(cm)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50,BDE</w:t>
            </w:r>
            <w:r>
              <w:rPr>
                <w:rFonts w:ascii="Times New Roman" w:hAnsi="Times New Roman"/>
                <w:b/>
                <w:sz w:val="19"/>
              </w:rPr>
              <w:t xml:space="preserve"> </w:t>
            </w:r>
            <w:r>
              <w:rPr>
                <w:rFonts w:ascii="Times New Roman" w:hAnsi="Times New Roman"/>
                <w:b/>
                <w:sz w:val="19"/>
              </w:rPr>
              <w:t xml:space="preserve">(cm)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bl>
    <w:p>
      <w:pPr>
        <w:pStyle w:val="BodyText"/>
        <w:spacing w:before="16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kcal/mol). Neither route is authoritative for a novel chemotype; experimental impact-sensitivity testing is required.</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§5.4 were optimised with the same protocol; they are</w:t>
      </w:r>
      <w:r>
        <w:t xml:space="preserve"> </w:t>
      </w:r>
      <w:r>
        <w:rPr>
          <w:i/>
          <w:iCs/>
        </w:rPr>
        <w:t xml:space="preserve">not</w:t>
      </w:r>
      <w:r>
        <w:t xml:space="preserve"> </w:t>
      </w:r>
      <w:r>
        <w:t xml:space="preserve">chem-pass leads and are reported here for completeness:</w:t>
      </w:r>
    </w:p>
    <w:p>
      <w:pPr>
        <w:pStyle w:val="BodyText"/>
        <w:jc w:val="both"/>
        <w:keepNext w:val="0"/>
        <w:keepLines w:val="0"/>
        <w:widowControl w:val="1"/>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234.3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348.6</w:t>
            </w:r>
          </w:p>
        </w:tc>
      </w:tr>
    </w:tbl>
    <w:p/>
    <w:p>
      <w:pPr>
        <w:pStyle w:val="BodyText"/>
        <w:jc w:val="both"/>
        <w:keepNext w:val="0"/>
        <w:keepLines w:val="0"/>
        <w:widowControl w:val="1"/>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1.818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+230.7</w:t>
            </w:r>
          </w:p>
        </w:tc>
      </w:tr>
    </w:tbl>
    <w:p>
      <w:pPr>
        <w:pStyle w:val="BodyText"/>
        <w:spacing w:before="16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g/cm</w:t>
      </w:r>
      <w:r>
        <w:rPr>
          <w:vertAlign w:val="superscript"/>
        </w:rPr>
        <w:t xml:space="preserve">3</w:t>
      </w:r>
      <w:r>
        <w:t xml:space="preserve"> </w:t>
      </w:r>
      <w:r>
        <w:t xml:space="preserve">and kJ/mol 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kJ/mol, with LOO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(per-anchor residuals in Appendix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kJ/mol.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BodyText"/>
        <w:jc w:val="both"/>
        <w:keepNext w:val="0"/>
        <w:keepLines w:val="0"/>
        <w:widowControl w:val="1"/>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 trinitro-isoxazole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D=9.56, ρ=2.00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D=7.85, P=27.3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D=8.25, P=32.9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 oxime-nitrate-imidazoline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D=8.96,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D=6.81, P=19.9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 oxadiazinone-N-nitramine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 5-ring tetrazoline-N-nitramine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D=8.98,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D=5.56, P=13.2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D=6.71, P=20.9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 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D=7.99, P=29.6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 hydrazinyl tetranitramine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D=9.27,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D=6.44, P=17.6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D=7.33, P=24.6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 acyl-nitramide nitrate-imine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D=9.30, ρ=1.90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D=6.97, P=20.5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D=7.88, P=28.5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 oxadiazoline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D=9.05,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D=6.39, P=17.0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D=7.36, P=24.5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 oxadiazinone-N-nitramine (alt SMILES)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 vinyl azo-amino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D=9.00, ρ=1.89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D=6.21, P=16.0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D=7.09, P=22.6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 acyl C-OH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D=9.14,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r>
              <w:rPr>
                <w:rFonts w:ascii="Times New Roman" w:hAnsi="Times New Roman"/>
                <w:sz w:val="20"/>
              </w:rPr>
              <w:t xml:space="preserve"> </w:t>
            </w:r>
            <m:oMath>
              <m:r>
                <m:t>α</m:t>
              </m:r>
            </m:oMath>
            <w:r>
              <w:rPr>
                <w:rFonts w:ascii="Times New Roman" w:hAnsi="Times New Roman"/>
                <w:sz w:val="20"/>
              </w:rPr>
              <w:t xml:space="preserve">-NO</w:t>
            </w:r>
            <w:r>
              <w:rPr>
                <w:rFonts w:ascii="Times New Roman" w:hAnsi="Times New Roman"/>
                <w:sz w:val="20"/>
                <w:vertAlign w:val="subscript"/>
              </w:rPr>
              <w:t xml:space="preserve">2</w:t>
            </w:r>
            <w:r>
              <w:rPr>
                <w:rFonts w:ascii="Times New Roman" w:hAnsi="Times New Roman"/>
                <w:sz w:val="20"/>
              </w:rPr>
              <w:t xml:space="preserve"> </w:t>
            </w:r>
            <w:r>
              <w:rPr>
                <w:rFonts w:ascii="Times New Roman" w:hAnsi="Times New Roman"/>
                <w:sz w:val="20"/>
              </w:rPr>
              <w:t xml:space="preserve">acyl-N-nitramine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D=9.12, ρ=1.91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D=6.40, P=17.7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D=7.41,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RDX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D=8.75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D=7.43, P=25.0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−1.32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TATB</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D=6.93, P=22.0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HMX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D=7.52, P=26.2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PETN</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D=8.30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D=8.24, P=30.6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FOX-7</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D=8.87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 km/s (vs exp)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NTO</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D=7.93 (exp)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D=7.49, P=25.6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km/s (vs exp)</w:t>
            </w:r>
          </w:p>
        </w:tc>
      </w:tr>
    </w:tbl>
    <w:p>
      <w:pPr>
        <w:pStyle w:val="BodyText"/>
        <w:spacing w:before="160"/>
        <w:jc w:val="both"/>
        <w:keepNext w:val="0"/>
        <w:keepLines w:val="0"/>
        <w:widowControl w:val="1"/>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km/s below experiment, with a mean of</w:t>
      </w:r>
      <w:r>
        <w:t xml:space="preserve"> </w:t>
      </w:r>
      <m:oMath>
        <m:r>
          <m:rPr>
            <m:sty m:val="p"/>
          </m:rPr>
          <m:t>−</m:t>
        </m:r>
        <m:r>
          <m:t>0.92</m:t>
        </m:r>
      </m:oMath>
      <w:r>
        <w:t xml:space="preserve"> km/s.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km/s, mean</w:t>
      </w:r>
      <w:r>
        <w:t xml:space="preserve"> </w:t>
      </w:r>
      <m:oMath>
        <m:r>
          <m:rPr>
            <m:sty m:val="p"/>
          </m:rPr>
          <m:t>−</m:t>
        </m:r>
        <m:r>
          <m:t>1.66</m:t>
        </m:r>
      </m:oMath>
      <w:r>
        <w:t xml:space="preserve"> km/s) sit comfortably inside this anchor-defined band, and the</w:t>
      </w:r>
      <w:r>
        <w:t xml:space="preserve"> </w:t>
      </w:r>
      <m:oMath>
        <m:r>
          <m:rPr>
            <m:sty m:val="p"/>
          </m:rPr>
          <m:t>−</m:t>
        </m:r>
        <m:r>
          <m:t>1.31</m:t>
        </m:r>
      </m:oMath>
      <w:r>
        <w:t xml:space="preserve"> km/s residual on L1 is one of the smallest in the lead set, consistent with L1's HMX-class regime placement.</w:t>
      </w:r>
    </w:p>
    <w:p>
      <w:pPr>
        <w:pStyle w:val="BodyText"/>
        <w:jc w:val="both"/>
        <w:keepNext w:val="0"/>
        <w:keepLines w:val="0"/>
        <w:widowControl w:val="1"/>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Appendix C.10 GFN2-xTB BDE scan places E1's weakest cleavage at</w:t>
      </w:r>
      <w:r>
        <w:t xml:space="preserve"> </w:t>
      </w:r>
      <m:oMath>
        <m:r>
          <m:t>92.7</m:t>
        </m:r>
      </m:oMath>
      <w:r>
        <w:t xml:space="preserve"> kcal/mol on the exocyclic C–NO</w:t>
      </w:r>
      <w:r>
        <w:rPr>
          <w:vertAlign w:val="subscript"/>
        </w:rPr>
        <w:t xml:space="preserve">2</w:t>
      </w:r>
      <w:r>
        <w:t xml:space="preserve"> </w:t>
      </w:r>
      <w:r>
        <w:t xml:space="preserve">bond and finds no ring N–O channel below</w:t>
      </w:r>
      <w:r>
        <w:t xml:space="preserve"> </w:t>
      </w:r>
      <m:oMath>
        <m:r>
          <m:t>180</m:t>
        </m:r>
      </m:oMath>
      <w:r>
        <w:t xml:space="preserve"> kcal/mol on a vertical cleavage from the parent geometry; the literature endocyclic-O–N value (130–155 kJ/mol</w:t>
      </w:r>
      <w:r>
        <w:t xml:space="preserve"> </w:t>
      </w:r>
      <m:oMath>
        <m:r>
          <m:rPr>
            <m:sty m:val="p"/>
          </m:rPr>
          <m:t>≈</m:t>
        </m:r>
      </m:oMath>
      <w:r>
        <w:t xml:space="preserve"> </w:t>
      </w:r>
      <w: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BodyText"/>
        <w:jc w:val="both"/>
        <w:keepNext w:val="0"/>
        <w:keepLines w:val="0"/>
        <w:widowControl w:val="1"/>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km/s against a 3D-CNN prediction of</w:t>
      </w:r>
      <w:r>
        <w:t xml:space="preserve"> </w:t>
      </w:r>
      <m:oMath>
        <m:r>
          <m:t>8.98</m:t>
        </m:r>
      </m:oMath>
      <w:r>
        <w:t xml:space="preserve"> km/s,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km/s (Table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BodyText"/>
        <w:jc w:val="both"/>
        <w:keepNext w:val="0"/>
        <w:keepLines w:val="0"/>
        <w:widowControl w:val="1"/>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km/s, 6-anchor-calibrated K-J</w:t>
      </w:r>
      <w:r>
        <w:t xml:space="preserve"> </w:t>
      </w:r>
      <m:oMath>
        <m:r>
          <m:t>D</m:t>
        </m:r>
      </m:oMath>
      <w:r>
        <w:t xml:space="preserve">=6.71 km/s, residual = </w:t>
      </w:r>
      <m:oMath>
        <m:r>
          <m:rPr>
            <m:sty m:val="p"/>
          </m:rPr>
          <m:t>−</m:t>
        </m:r>
        <m:r>
          <m:t>2.27</m:t>
        </m:r>
      </m:oMath>
      <w:r>
        <w:t xml:space="preserve"> km/s).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 residual via ρ alone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20"/>
              </w:rPr>
              <w:t xml:space="preserve"> g/cm</w:t>
            </w:r>
            <w:r>
              <w:rPr>
                <w:rFonts w:ascii="Times New Roman" w:hAnsi="Times New Roman"/>
                <w:sz w:val="20"/>
                <w:vertAlign w:val="superscript"/>
              </w:rPr>
              <w:t xml:space="preserve">3</w:t>
            </w:r>
            <w:r>
              <w:rPr>
                <w:rFonts w:ascii="Times New Roman" w:hAnsi="Times New Roman"/>
                <w:sz w:val="20"/>
              </w:rPr>
              <w:t xml:space="preserve">; L4 calibrated</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would have to drop from 1.94 to 1.02 g/cm</w:t>
            </w:r>
            <w:r>
              <w:rPr>
                <w:rFonts w:ascii="Times New Roman" w:hAnsi="Times New Roman"/>
                <w:sz w:val="20"/>
                <w:vertAlign w:val="super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Lighter than water; chemically implausible for any nitrogen-rich CHNO crystal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 residual via HOF alone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Δ</m:t>
              </m:r>
            </m:oMath>
            <w:r>
              <w:rPr>
                <w:rFonts w:ascii="Times New Roman" w:hAnsi="Times New Roman"/>
                <w:sz w:val="20"/>
              </w:rPr>
              <w:t xml:space="preserve">HOF</w:t>
            </w:r>
            <w:r>
              <w:rPr>
                <w:rFonts w:ascii="Times New Roman" w:hAnsi="Times New Roman"/>
                <w:sz w:val="20"/>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20"/>
              </w:rPr>
              <w:t xml:space="preserve"> kJ/mol; L4 calibrated HOF would have to rise from +292 to +1324 kJ/mol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Far above CL-20's HOF (~+460 kJ/mol); physically extreme for a 13-atom CHNO neutral</w:t>
            </w:r>
          </w:p>
        </w:tc>
      </w:tr>
    </w:tbl>
    <w:p>
      <w:pPr>
        <w:pStyle w:val="BodyText"/>
        <w:spacing w:before="16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km/s per 100 kJ/mol.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BodyText"/>
        <w:jc w:val="both"/>
        <w:keepNext w:val="0"/>
        <w:keepLines w:val="0"/>
        <w:widowControl w:val="1"/>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BodyText"/>
        <w:jc w:val="both"/>
        <w:keepNext w:val="0"/>
        <w:keepLines w:val="0"/>
        <w:widowControl w:val="1"/>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[0.55–1.00]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7.66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+0.54</w:t>
            </w:r>
          </w:p>
        </w:tc>
      </w:tr>
    </w:tbl>
    <w:p>
      <w:pPr>
        <w:pStyle w:val="BodyText"/>
        <w:spacing w:before="16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km/s 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BodyText"/>
        <w:jc w:val="both"/>
        <w:keepNext w:val="0"/>
        <w:keepLines w:val="0"/>
        <w:widowControl w:val="1"/>
      </w:pPr>
      <w:r>
        <w:rPr>
          <w:b/>
          <w:bCs/>
        </w:rPr>
        <w:t xml:space="preserve">C.8 Scaffold-similarity to labelled master.</w:t>
      </w:r>
      <w:r>
        <w:t xml:space="preserve"> </w:t>
      </w:r>
      <w:r>
        <w:t xml:space="preserve">Beyond Tanimoto on full-molecule fingerprints (§5.4), we report the GuacaMol-style "scaf" metric (mean and max nearest-neighbour Tanimoto on Bemis–Murcko scaffold fingerprints) against a 5 000-row sample of the labelled master:</w:t>
      </w:r>
    </w:p>
    <w:p>
      <w:pPr>
        <w:pStyle w:val="BodyText"/>
        <w:jc w:val="both"/>
        <w:keepNext w:val="0"/>
        <w:keepLines w:val="0"/>
        <w:widowControl w:val="1"/>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503</w:t>
            </w:r>
          </w:p>
        </w:tc>
      </w:tr>
    </w:tbl>
    <w:p>
      <w:pPr>
        <w:pStyle w:val="BodyText"/>
        <w:spacing w:before="16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BodyText"/>
        <w:jc w:val="both"/>
        <w:keepNext w:val="0"/>
        <w:keepLines w:val="0"/>
        <w:widowControl w:val="1"/>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BodyText"/>
        <w:jc w:val="both"/>
        <w:keepNext w:val="0"/>
        <w:keepLines w:val="0"/>
        <w:widowControl w:val="1"/>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kcal/mol</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kcal/mol; ring N–O bonds are at 170–186 kcal/mol (the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kcal/mol</w:t>
      </w:r>
      <w:r>
        <w:t xml:space="preserve"> </w:t>
      </w:r>
      <w:r>
        <w:t xml:space="preserve">on the exocyclic C–NO</w:t>
      </w:r>
      <w:r>
        <w:rPr>
          <w:vertAlign w:val="subscript"/>
        </w:rPr>
        <w:t xml:space="preserve">2</w:t>
      </w:r>
      <w:r>
        <w:t xml:space="preserve"> </w:t>
      </w:r>
      <w:r>
        <w:t xml:space="preserve">bond, with no ring N–O channel below 180 kcal/mol. Relative to the Politzer–Murray Ar–NO</w:t>
      </w:r>
      <w:r>
        <w:rPr>
          <w:vertAlign w:val="subscript"/>
        </w:rPr>
        <w:t xml:space="preserve">2</w:t>
      </w:r>
      <w:r>
        <w:t xml:space="preserve"> </w:t>
      </w:r>
      <w:r>
        <w:t xml:space="preserve">typical (</w:t>
      </w:r>
      <m:oMath>
        <m:r>
          <m:rPr>
            <m:sty m:val="p"/>
          </m:rPr>
          <m:t>∼</m:t>
        </m:r>
      </m:oMath>
      <w: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t xml:space="preserve"> </w:t>
      </w:r>
      <w:r>
        <w:rPr>
          <w:rStyle w:val="VerbatimChar"/>
        </w:rPr>
        <w:t xml:space="preserve">t1_bde_bundle/</w:t>
      </w:r>
      <w:r>
        <w:t xml:space="preserve">.</w:t>
      </w:r>
    </w:p>
    <w:p>
      <w:pPr>
        <w:pStyle w:val="BodyText"/>
        <w:jc w:val="both"/>
        <w:keepNext w:val="0"/>
        <w:keepLines w:val="0"/>
        <w:widowControl w:val="1"/>
      </w:pPr>
      <w:r>
        <w:rPr>
          <w:b/>
          <w:bCs/>
        </w:rPr>
        <w:t xml:space="preserve">C.11 DNTF 7th-anchor extension attempt.</w:t>
      </w:r>
      <w:r>
        <w:t xml:space="preserve"> </w:t>
      </w: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km/s)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kJ/mol for DNTF (versus</w:t>
      </w:r>
      <w:r>
        <w:t xml:space="preserve"> </w:t>
      </w:r>
      <m:oMath>
        <m:r>
          <m:rPr>
            <m:sty m:val="p"/>
          </m:rPr>
          <m:t>±</m:t>
        </m:r>
        <m:r>
          <m:t>0.025</m:t>
        </m:r>
      </m:oMath>
      <w:r>
        <w:t xml:space="preserve">–</w:t>
      </w:r>
      <m:oMath>
        <m:r>
          <m:t>0.049</m:t>
        </m:r>
      </m:oMath>
      <w:r>
        <w:t xml:space="preserve"> g/cm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BodyText"/>
        <w:jc w:val="both"/>
        <w:keepNext w:val="0"/>
        <w:keepLines w:val="0"/>
        <w:widowControl w:val="1"/>
      </w:pPr>
      <w:r>
        <w:rPr>
          <w:b/>
          <w:bCs/>
        </w:rPr>
        <w:t xml:space="preserve">C.12 Stage-3 xTB triage recipe.</w:t>
      </w:r>
      <w:r>
        <w:t xml:space="preserve"> </w:t>
      </w:r>
      <w:r>
        <w:t xml:space="preserve">The Stage-3 xTB triage referenced in §5.3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[11a]</w:t>
        </w:r>
      </w:hyperlink>
      <w: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BodyText"/>
        <w:jc w:val="both"/>
        <w:keepNext w:val="0"/>
        <w:keepLines w:val="0"/>
        <w:widowControl w:val="1"/>
      </w:pPr>
      <w:r>
        <w:rPr>
          <w:b/>
          <w:bCs/>
        </w:rPr>
        <w:t xml:space="preserve">C.13 Independent CJ cross-check.</w:t>
      </w:r>
      <w:r>
        <w:t xml:space="preserve"> </w:t>
      </w:r>
      <w:r>
        <w:t xml:space="preserve">A thermochemical-equilibrium Cantera ideal-gas Chapman–Jouguet recompute is provided as an independent relative-ranking sanity check on the §5.3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km/s vs experimental</w:t>
      </w:r>
      <w:r>
        <w:t xml:space="preserve"> </w:t>
      </w:r>
      <m:oMath>
        <m:r>
          <m:t>8.75</m:t>
        </m:r>
      </m:oMath>
      <w: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§6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km/s per 100 kJ/mol; see Table 3)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20"/>
    <w:bookmarkStart w:id="34" w:name="Xa4532ab44f8731e5d9ddae9565c93e8c6327743"/>
    <w:p>
      <w:pPr>
        <w:pStyle w:val="Heading3"/>
        <w:keepNext/>
        <w:keepLines/>
        <w:widowControl w:val="1"/>
      </w:pPr>
      <w:r>
        <w:t xml:space="preserve">D. Reproducibility details and superseded ablations</w:t>
      </w:r>
    </w:p>
    <w:p>
      <w:pPr>
        <w:pStyle w:val="FirstParagraph"/>
        <w:jc w:val="both"/>
        <w:keepNext w:val="0"/>
        <w:keepLines w:val="0"/>
        <w:widowControl w:val="1"/>
      </w:pPr>
      <w:r>
        <w:t xml:space="preserve">This appendix collects implementation-specific names, version codes, hardware configurations, hyperparameter ablations, and superseded results that are not required for the body claims but are needed for full reproducibility.</w:t>
      </w:r>
    </w:p>
    <w:p>
      <w:pPr>
        <w:pStyle w:val="BodyText"/>
        <w:jc w:val="both"/>
        <w:keepNext w:val="0"/>
        <w:keepLines w:val="0"/>
        <w:widowControl w:val="1"/>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§4.7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BodyText"/>
        <w:jc w:val="both"/>
        <w:keepNext w:val="0"/>
        <w:keepLines w:val="0"/>
        <w:widowControl w:val="1"/>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BodyText"/>
        <w:jc w:val="both"/>
        <w:keepNext w:val="0"/>
        <w:keepLines w:val="0"/>
        <w:widowControl w:val="1"/>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Appendix B.</w:t>
      </w:r>
    </w:p>
    <w:p>
      <w:pPr>
        <w:pStyle w:val="BodyText"/>
        <w:jc w:val="both"/>
        <w:keepNext w:val="0"/>
        <w:keepLines w:val="0"/>
        <w:widowControl w:val="1"/>
      </w:pPr>
      <w:r>
        <w:rPr>
          <w:b/>
          <w:bCs/>
        </w:rPr>
        <w:t xml:space="preserve">D.4 High-tail oversampling ablation.</w:t>
      </w:r>
      <w:r>
        <w:t xml:space="preserve"> </w:t>
      </w:r>
      <w:r>
        <w:t xml:space="preserve">Reverting the asymmetric oversampling of §3.3 produces leads with a 0.4 km/s lower mean predicted detonation velocity at matched pool size and matched downstream pipeline.</w:t>
      </w:r>
    </w:p>
    <w:p>
      <w:pPr>
        <w:pStyle w:val="BodyText"/>
        <w:jc w:val="both"/>
        <w:keepNext w:val="0"/>
        <w:keepLines w:val="0"/>
        <w:widowControl w:val="1"/>
      </w:pPr>
      <w:r>
        <w:rPr>
          <w:b/>
          <w:bCs/>
        </w:rPr>
        <w:t xml:space="preserve">D.5 Diagnostic protocol.</w:t>
      </w:r>
      <w:r>
        <w:t xml:space="preserve"> </w:t>
      </w:r>
      <w:r>
        <w:t xml:space="preserve">The guidance patching of §4.9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BodyText"/>
        <w:jc w:val="both"/>
        <w:keepNext w:val="0"/>
        <w:keepLines w:val="0"/>
        <w:widowControl w:val="1"/>
      </w:pPr>
      <w:r>
        <w:rPr>
          <w:b/>
          <w:bCs/>
        </w:rPr>
        <w:t xml:space="preserve">D.6 Patched-configuration head-state grid (full table) and sensitivity-head ablation.</w:t>
      </w:r>
      <w:r>
        <w:t xml:space="preserve"> </w:t>
      </w:r>
      <w:r>
        <w:t xml:space="preserve">§5.3 reports the headline finding (12 cells collapsing to 4 distinct outputs); the full md5 cluster table is:</w:t>
      </w:r>
    </w:p>
    <w:p>
      <w:pPr>
        <w:pStyle w:val="BodyText"/>
        <w:jc w:val="both"/>
        <w:keepNext w:val="0"/>
        <w:keepLines w:val="0"/>
        <w:widowControl w:val="1"/>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sv0_sh0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unguided /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f0438f…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sv0_sh{1,2,5}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93da34…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sv{1,5}_sh0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c83f06…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sv{1,5}_sh{1,2,5} (6)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viab + hazard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e26b43…</w:t>
            </w:r>
          </w:p>
        </w:tc>
      </w:tr>
    </w:tbl>
    <w:p>
      <w:pPr>
        <w:pStyle w:val="BodyText"/>
        <w:spacing w:before="160"/>
        <w:jc w:val="both"/>
        <w:keepNext w:val="0"/>
        <w:keepLines w:val="0"/>
        <w:widowControl w:val="1"/>
      </w:pPr>
      <w: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BodyText"/>
        <w:jc w:val="both"/>
        <w:keepNext w:val="0"/>
        <w:keepLines w:val="0"/>
        <w:widowControl w:val="1"/>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(Appendix B.2):</w:t>
      </w:r>
    </w:p>
    <w:p>
      <w:pPr>
        <w:pStyle w:val="BodyText"/>
        <w:jc w:val="both"/>
        <w:keepNext w:val="0"/>
        <w:keepLines w:val="0"/>
        <w:widowControl w:val="1"/>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km/s on top-1</w:t>
      </w:r>
      <w:r>
        <w:t xml:space="preserve"> </w:t>
      </w:r>
      <m:oMath>
        <m:r>
          <m:t>D</m:t>
        </m:r>
      </m:oMath>
      <w: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unguided (no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 heuristic sensitivity head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 literature-grounded sensitivity head (h</w:t>
            </w:r>
            <w:r>
              <w:rPr>
                <w:rFonts w:ascii="Times New Roman" w:hAnsi="Times New Roman"/>
                <w:sz w:val="20"/>
                <w:vertAlign w:val="subscript"/>
              </w:rPr>
              <w:t xml:space="preserve">50</w:t>
            </w: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8.63</w:t>
            </w:r>
          </w:p>
        </w:tc>
      </w:tr>
    </w:tbl>
    <w:p>
      <w:pPr>
        <w:pStyle w:val="BodyText"/>
        <w:spacing w:before="160"/>
        <w:jc w:val="both"/>
        <w:keepNext w:val="0"/>
        <w:keepLines w:val="0"/>
        <w:widowControl w:val="1"/>
      </w:pPr>
      <w:r>
        <w:t xml:space="preserve">The literature-grounded h50 head reduces top-5 mean sensitivity by ~8× at the cost of ~0.4 km/s on top-1 D; preferred when candidate stability is the priority over peak performance.</w:t>
      </w:r>
    </w:p>
    <w:p>
      <w:pPr>
        <w:pStyle w:val="BodyText"/>
        <w:jc w:val="both"/>
        <w:keepNext w:val="0"/>
        <w:keepLines w:val="0"/>
        <w:widowControl w:val="1"/>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(§5.4):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BodyText"/>
        <w:jc w:val="both"/>
        <w:keepNext w:val="0"/>
        <w:keepLines w:val="0"/>
        <w:widowControl w:val="1"/>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N-nitroimine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terminal azo−NO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azo−amino−NO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cumulated cyclopropene (residual)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Total rejected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23 / 100</w:t>
            </w:r>
          </w:p>
        </w:tc>
      </w:tr>
    </w:tbl>
    <w:p>
      <w:pPr>
        <w:pStyle w:val="BodyText"/>
        <w:spacing w:before="16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Heading4"/>
        <w:keepNext/>
        <w:keepLines/>
        <w:widowControl w:val="1"/>
      </w:pPr>
      <w:r>
        <w:t xml:space="preserve">D.8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16).</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heat_of_formation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+267.75)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detonation_velocity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+7.86)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detonation_pressure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q90 (target +26.57)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26</w:t>
            </w:r>
          </w:p>
        </w:tc>
      </w:tr>
    </w:tbl>
    <w:bookmarkEnd w:id="21"/>
    <w:bookmarkStart w:id="22" w:name="Xacf7f0073d817eb36c4a5c31559a0717b95a1ff"/>
    <w:p>
      <w:pPr>
        <w:pStyle w:val="Heading4"/>
        <w:keepNext/>
        <w:keepLines/>
        <w:widowControl w:val="1"/>
      </w:pPr>
      <w:r>
        <w:t xml:space="preserve">D.9 Hard-negative viability-head augmentation ablation</w:t>
      </w:r>
    </w:p>
    <w:p>
      <w:pPr>
        <w:pStyle w:val="FirstParagraph"/>
        <w:jc w:val="both"/>
        <w:keepNext w:val="0"/>
        <w:keepLines w:val="0"/>
        <w:widowControl w:val="1"/>
      </w:pPr>
      <w:r>
        <w:t xml:space="preserve">We trained two variants of the multi-head model on identical noised-latent inputs to compare hard-negative-augmentation budgets:</w:t>
      </w:r>
    </w:p>
    <w:p>
      <w:pPr>
        <w:pStyle w:val="Compact"/>
        <w:numPr>
          <w:ilvl w:val="0"/>
          <w:numId w:val="1002"/>
        </w:numPr>
        <w:jc w:val="both"/>
        <w:keepNext w:val="0"/>
        <w:keepLines w:val="0"/>
        <w:widowControl w:val="1"/>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numPr>
          <w:ilvl w:val="0"/>
          <w:numId w:val="1002"/>
        </w:numPr>
        <w:jc w:val="both"/>
        <w:keepNext w:val="0"/>
        <w:keepLines w:val="0"/>
        <w:widowControl w:val="1"/>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FirstParagraph"/>
        <w:jc w:val="both"/>
        <w:keepNext w:val="0"/>
        <w:keepLines w:val="0"/>
        <w:widowControl w:val="1"/>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Heading4"/>
        <w:keepNext/>
        <w:keepLines/>
        <w:widowControl w:val="1"/>
      </w:pPr>
      <w:r>
        <w:t xml:space="preserve">D.10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km/s)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18.</w:t>
      </w:r>
      <w:r>
        <w:t xml:space="preserve"> </w:t>
      </w:r>
      <w:r>
        <w:t xml:space="preserve">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the §4.11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26.</w:t>
      </w:r>
      <w:r>
        <w:t xml:space="preserve"> </w:t>
      </w:r>
      <w: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Heading4"/>
        <w:keepNext/>
        <w:keepLines/>
        <w:widowControl w:val="1"/>
      </w:pPr>
      <w:r>
        <w:t xml:space="preserve">D.11 Distribution-learning metrics</w:t>
      </w:r>
    </w:p>
    <w:p>
      <w:pPr>
        <w:pStyle w:val="FirstParagraph"/>
        <w:jc w:val="both"/>
        <w:keepNext w:val="0"/>
        <w:keepLines w:val="0"/>
        <w:widowControl w:val="1"/>
      </w:pPr>
      <w:r>
        <w:t xml:space="preserve">To address standard distribution-learning benchmarks expected by NMI reviewers, we report MOSES-style metrics</w:t>
      </w:r>
      <w:r>
        <w:t xml:space="preserve"> </w:t>
      </w:r>
      <w:hyperlink w:anchor="ref-polykovskiy2020moses">
        <w:r>
          <w:rPr>
            <w:rStyle w:val="Hyperlink"/>
          </w:rPr>
          <w:t xml:space="preserve">[46]</w:t>
        </w:r>
      </w:hyperlink>
      <w:r>
        <w:t xml:space="preserve"> </w:t>
      </w:r>
      <w:r>
        <w:t xml:space="preserve">on the four guidance conditions of §F.3 at pool=10 000 each (10k SMILES per condition):</w:t>
      </w:r>
    </w:p>
    <w:p>
      <w:pPr>
        <w:pStyle w:val="BodyText"/>
        <w:jc w:val="both"/>
        <w:keepNext w:val="0"/>
        <w:keepLines w:val="0"/>
        <w:widowControl w:val="1"/>
      </w:pPr>
      <w:r>
        <w:rPr>
          <w:b/>
          <w:bCs/>
        </w:rPr>
        <w:t xml:space="preserve">Table D.4.</w:t>
      </w:r>
      <w:r>
        <w:t xml:space="preserve"> </w:t>
      </w:r>
      <w: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PAINS-pass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energetic-SMARTS-pass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0.306</w:t>
            </w:r>
          </w:p>
        </w:tc>
      </w:tr>
    </w:tbl>
    <w:p>
      <w:pPr>
        <w:pStyle w:val="BodyText"/>
        <w:spacing w:before="160"/>
        <w:jc w:val="both"/>
        <w:keepNext w:val="0"/>
        <w:keepLines w:val="0"/>
        <w:widowControl w:val="1"/>
      </w:pPr>
      <w:r>
        <w:t xml:space="preserve">The MOSES small-multiples figure (validity, scaffold uniqueness, internal diversity, FCD) has been promoted into §5.5 as Fig 24.</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BodyText"/>
        <w:jc w:val="both"/>
        <w:keepNext w:val="0"/>
        <w:keepLines w:val="0"/>
        <w:widowControl w:val="1"/>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viab+sens+SA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0.617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0.210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18</w:t>
            </w:r>
          </w:p>
        </w:tc>
      </w:tr>
    </w:tbl>
    <w:p>
      <w:pPr>
        <w:pStyle w:val="BodyText"/>
        <w:spacing w:before="160"/>
        <w:jc w:val="both"/>
        <w:keepNext w:val="0"/>
        <w:keepLines w:val="0"/>
        <w:widowControl w:val="1"/>
      </w:pPr>
      <w:r>
        <w:t xml:space="preserve">Five readings of this table (Table D.4):</w:t>
      </w:r>
    </w:p>
    <w:p>
      <w:pPr>
        <w:pStyle w:val="Compact"/>
        <w:numPr>
          <w:ilvl w:val="0"/>
          <w:numId w:val="1003"/>
        </w:numPr>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3"/>
        </w:numPr>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Compact"/>
        <w:numPr>
          <w:ilvl w:val="0"/>
          <w:numId w:val="1003"/>
        </w:numPr>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3"/>
        </w:numPr>
        <w:jc w:val="both"/>
        <w:keepNext w:val="0"/>
        <w:keepLines w:val="0"/>
        <w:widowControl w:val="1"/>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3"/>
        </w:numPr>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[47]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BodyText"/>
        <w:jc w:val="both"/>
        <w:keepNext w:val="0"/>
        <w:keepLines w:val="0"/>
        <w:widowControl w:val="1"/>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 3 seeds, mean)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C3 hazard-only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C0 unguided (6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viab+sens+hazard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viab+sens (hazard-axis,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C3 viab+sens+SA (SA-axis,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26.47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0.06</w:t>
            </w:r>
          </w:p>
        </w:tc>
      </w:tr>
    </w:tbl>
    <w:p>
      <w:pPr>
        <w:pStyle w:val="BodyText"/>
        <w:spacing w:before="160"/>
        <w:jc w:val="both"/>
        <w:keepNext w:val="0"/>
        <w:keepLines w:val="0"/>
        <w:widowControl w:val="1"/>
      </w:pPr>
      <w:r>
        <w:t xml:space="preserve">The result is methodologically informative and self-consistent with the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Heading4"/>
        <w:keepNext/>
        <w:keepLines/>
        <w:widowControl w:val="1"/>
      </w:pPr>
      <w:r>
        <w:t xml:space="preserve">D.12 Hazard-head post-hoc filtering</w:t>
      </w:r>
    </w:p>
    <w:p>
      <w:pPr>
        <w:pStyle w:val="FirstParagraph"/>
        <w:jc w:val="both"/>
        <w:keepNext w:val="0"/>
        <w:keepLines w:val="0"/>
        <w:widowControl w:val="1"/>
      </w:pPr>
      <w:r>
        <w:t xml:space="preserve">Applying the §4.7 hazard-head-as-rerank-weight to the merged top-100, scored against the chemist-curated SMARTS catalog, gives the following alignment:</w:t>
      </w:r>
    </w:p>
    <w:p>
      <w:pPr>
        <w:pStyle w:val="BodyText"/>
        <w:jc w:val="both"/>
        <w:keepNext w:val="0"/>
        <w:keepLines w:val="0"/>
        <w:widowControl w:val="1"/>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energetic-SMARTS gate reject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head P &gt;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both reject (SMARTS ∩ 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 / 23</w:t>
            </w:r>
            <w:r>
              <w:rPr>
                <w:rFonts w:ascii="Times New Roman" w:hAnsi="Times New Roman"/>
                <w:sz w:val="20"/>
              </w:rPr>
              <w:t xml:space="preserve"> </w:t>
            </w:r>
            <w:r>
              <w:rPr>
                <w:rFonts w:ascii="Times New Roman" w:hAnsi="Times New Roman"/>
                <w:sz w:val="20"/>
              </w:rPr>
              <w:t xml:space="preserve">(perfect 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 flag (SMARTS missed but head flagged)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 100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pass (SMARTS-ok ∩ hazard</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 100</w:t>
            </w:r>
          </w:p>
        </w:tc>
      </w:tr>
    </w:tbl>
    <w:p>
      <w:pPr>
        <w:pStyle w:val="BodyText"/>
        <w:spacing w:before="16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bookmarkEnd w:id="31"/>
    <w:bookmarkStart w:id="32" w:name="d.13-e2-filter-scope-note"/>
    <w:p>
      <w:pPr>
        <w:pStyle w:val="Heading4"/>
        <w:keepNext/>
        <w:keepLines/>
        <w:widowControl w:val="1"/>
      </w:pPr>
      <w:r>
        <w:t xml:space="preserve">D.13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the §4.10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Heading4"/>
        <w:keepNext/>
        <w:keepLines/>
        <w:widowControl w:val="1"/>
      </w:pPr>
      <w:r>
        <w:t xml:space="preserve">D.14 AiZynthFinder route detail for L1</w:t>
      </w:r>
    </w:p>
    <w:p>
      <w:pPr>
        <w:pStyle w:val="FirstParagraph"/>
        <w:jc w:val="both"/>
        <w:keepNext w:val="0"/>
        <w:keepLines w:val="0"/>
        <w:widowControl w:val="1"/>
      </w:pPr>
      <w: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[sabatini2018]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Heading3"/>
        <w:keepNext/>
        <w:keepLines/>
        <w:widowControl w:val="1"/>
      </w:pPr>
      <w:r>
        <w:t xml:space="preserve">E. Baseline-method example outputs</w:t>
      </w:r>
    </w:p>
    <w:p>
      <w:pPr>
        <w:pStyle w:val="FirstParagraph"/>
        <w:jc w:val="both"/>
        <w:keepNext w:val="0"/>
        <w:keepLines w:val="0"/>
        <w:widowControl w:val="1"/>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BodyText"/>
        <w:jc w:val="both"/>
        <w:keepNext w:val="0"/>
        <w:keepLines w:val="0"/>
        <w:widowControl w:val="1"/>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CO[C@@H]1CCN(CC23CCC(N)(CC2)C3)C[C@@H]1C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N=c1cc[nH]cc1-c1nc(N)nc(N2C[C@H]3CN=C(N4CCCC4)[C@H]3C2)n1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w:t>
            </w:r>
            <w:r>
              <w:rPr>
                <w:rFonts w:ascii="Times New Roman" w:hAnsi="Times New Roman"/>
                <w:sz w:val="20"/>
                <w:vertAlign w:val="subscript"/>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365.21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CC(CN1C[C@H](CO)C2(CCC2)C1)=C1CCC1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25</w:t>
            </w: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C[C@H]1OCCC2=Nc3[nH]c4c(c3CCC[C@@H]21)[C@](C)(O)C4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16</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CC(C)(C)CN1CC(C)(C)C[C@]2(C)C(=O)N3C(=N1)C(=O)NC[C@]3(C)[C@@H]2N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CC(C)CN1CCN(c2nnc(-c3cncnc3)n2C[C@]2(C)CCCO2)CC1=O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20</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399.24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N[C@]1(CC2COCCOC2)CO[C@H](C2CC2)C1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13</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Cc1c(C(=O)N(C)C[C@@H]2CCN(C(=O)Cc3cnoc3)C2)ccn1C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344.18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O=C(CCn1cnccc1=O)NC1(CNC[C@H]2CC[C@H]3C[C@H]3C2)CCCC1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21</w:t>
            </w:r>
            <w:r>
              <w:rPr>
                <w:rFonts w:ascii="Times New Roman" w:hAnsi="Times New Roman"/>
                <w:sz w:val="20"/>
              </w:rPr>
              <w:t xml:space="preserve">H</w:t>
            </w:r>
            <w:r>
              <w:rPr>
                <w:rFonts w:ascii="Times New Roman" w:hAnsi="Times New Roman"/>
                <w:sz w:val="20"/>
                <w:vertAlign w:val="subscript"/>
              </w:rPr>
              <w:t xml:space="preserve">32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CO[C@@H]1CCCCN(c2nnc([C@]3(C)CNC(=O)C3)n2CC2CC2)C1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347.23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bl>
    <w:p/>
    <w:p>
      <w:pPr>
        <w:pStyle w:val="BodyText"/>
        <w:jc w:val="both"/>
        <w:keepNext w:val="0"/>
        <w:keepLines w:val="0"/>
        <w:widowControl w:val="1"/>
      </w:pPr>
      <w:r>
        <w:rPr>
          <w:b/>
          <w:bCs/>
        </w:rPr>
        <w:t xml:space="preserve">Table E.2.</w:t>
      </w:r>
      <w:r>
        <w:t xml:space="preserve"> </w:t>
      </w:r>
      <w: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O=C(O[C@@H]1C[C@H]2CC[C@H]3O[C@]2(C1)C1=C3CCCC1)C(=O)C1CC1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CC(=N)OC(=O)OC12OC(OCCO)C1O2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11</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CC[C@H](c1cccc2ccccc12)[C@@H](/C=C/C[C@]1(C)C(=O)N2C(=O)N=C(OC)O[C@H]2[C@@H]1C(OC)=C(C)O)COC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CCN1N=C2OC(=O)N=CN=C2C(O)=NC1=NO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8</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CC(=O)[C@@H]1[C@@H](O)[C@H](C(C)(C)C)[C@@H]1N1C(=O)C(=O)N(C)C(=O)CN1[N+](=O)[O-]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CC1N=C2OC(=O)OC2OC(Oc2nnno2)COC1C#N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10</w:t>
            </w:r>
            <w:r>
              <w:rPr>
                <w:rFonts w:ascii="Times New Roman" w:hAnsi="Times New Roman"/>
                <w:sz w:val="20"/>
              </w:rPr>
              <w:t xml:space="preserve">H</w:t>
            </w:r>
            <w:r>
              <w:rPr>
                <w:rFonts w:ascii="Times New Roman" w:hAnsi="Times New Roman"/>
                <w:sz w:val="20"/>
                <w:vertAlign w:val="subscript"/>
              </w:rPr>
              <w:t xml:space="preserve">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311.05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C[C@@H]([C@@H]1C=C(/C=C\C=C2\CCCCN2C)[C@]2(C=Nc3ccccc32)C(=O)[C@@H]1OCc1ccccc1)[N+](=O)[O-]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C=C1N=C2OC(=O)N2C(=O)COC(=O)NC1=O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CC12OC(O1)C(=O)C(=O)N(C=O)OCC2=O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7</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COC(=O)N1CCCC(C)(C)N1O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16</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188.12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r>
    </w:tbl>
    <w:bookmarkEnd w:id="35"/>
    <w:bookmarkStart w:id="45" w:name="sec-app-detailed-ablations"/>
    <w:p>
      <w:pPr>
        <w:pStyle w:val="Heading3"/>
        <w:keepNext/>
        <w:keepLines/>
        <w:widowControl w:val="1"/>
      </w:pPr>
      <w:r>
        <w:t xml:space="preserve">F. Detailed ablations (migrated from §5.6)</w:t>
      </w:r>
    </w:p>
    <w:p>
      <w:pPr>
        <w:pStyle w:val="FirstParagraph"/>
        <w:jc w:val="both"/>
        <w:keepNext w:val="0"/>
        <w:keepLines w:val="0"/>
        <w:widowControl w:val="1"/>
      </w:pPr>
      <w: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Heading4"/>
        <w:keepNext/>
        <w:keepLines/>
        <w:widowControl w:val="1"/>
      </w:pPr>
      <w:r>
        <w:t xml:space="preserve">F.1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Appendix D.9</w:t>
        </w:r>
      </w:hyperlink>
      <w:r>
        <w:t xml:space="preserve">; the SC-gradient sweep and the heuristic-vs-literature sensitivity-head ablation (Appendix B.2) are in</w:t>
      </w:r>
      <w:r>
        <w:t xml:space="preserve"> </w:t>
      </w:r>
      <w:hyperlink w:anchor="sec-app">
        <w:r>
          <w:rPr>
            <w:rStyle w:val="Hyperlink"/>
          </w:rPr>
          <w:t xml:space="preserve">Appendix D.6</w:t>
        </w:r>
      </w:hyperlink>
      <w:r>
        <w:t xml:space="preserve">.</w:t>
      </w:r>
    </w:p>
    <w:p>
      <w:pPr>
        <w:pStyle w:val="BodyText"/>
        <w:jc w:val="both"/>
        <w:keepNext w:val="0"/>
        <w:keepLines w:val="0"/>
        <w:widowControl w:val="1"/>
      </w:pPr>
      <w:r>
        <w:rPr>
          <w:b/>
          <w:bCs/>
        </w:rPr>
        <w:t xml:space="preserve">Table F.1.</w:t>
      </w:r>
      <w:r>
        <w:t xml:space="preserve"> </w:t>
      </w:r>
      <w: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(round-1)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918 (production)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0.74 (−0.10 absolute)</w:t>
            </w:r>
          </w:p>
        </w:tc>
      </w:tr>
    </w:tbl>
    <w:bookmarkEnd w:id="36"/>
    <w:bookmarkStart w:id="37" w:name="Xdf2932c87349f66e16946a8d44aeed56b1d4c5f"/>
    <w:p>
      <w:pPr>
        <w:pStyle w:val="Heading4"/>
        <w:keepNext/>
        <w:keepLines/>
        <w:widowControl w:val="1"/>
      </w:pPr>
      <w:r>
        <w:t xml:space="preserve">F.2 Diffusion + guidance prior vs Gaussian-latent control</w:t>
      </w:r>
    </w:p>
    <w:p>
      <w:pPr>
        <w:pStyle w:val="FirstParagraph"/>
        <w:jc w:val="both"/>
        <w:keepNext w:val="0"/>
        <w:keepLines w:val="0"/>
        <w:widowControl w:val="1"/>
      </w:pPr>
      <w:r>
        <w:t xml:space="preserve">An initial 3k-sample Gaussian baseline (LIMO decoder + SMARTS gate + SA/SC caps + Tanimoto window [0.15, 0.65] + Uni-Mol ranking) yields a top-1 composite of 1.10 (</w:t>
      </w:r>
      <m:oMath>
        <m:r>
          <m:t>ρ</m:t>
        </m:r>
        <m:r>
          <m:rPr>
            <m:sty m:val="p"/>
          </m:rPr>
          <m:t>=</m:t>
        </m:r>
        <m:r>
          <m:t>1.89</m:t>
        </m:r>
      </m:oMath>
      <w:r>
        <w:t xml:space="preserve"> g/cm</w:t>
      </w:r>
      <w:r>
        <w:rPr>
          <w:vertAlign w:val="superscript"/>
        </w:rPr>
        <w:t xml:space="preserve">3</w:t>
      </w:r>
      <w:r>
        <w:t xml:space="preserve">,</w:t>
      </w:r>
      <w:r>
        <w:t xml:space="preserve"> </w:t>
      </w:r>
      <m:oMath>
        <m:r>
          <m:t>D</m:t>
        </m:r>
        <m:r>
          <m:rPr>
            <m:sty m:val="p"/>
          </m:rPr>
          <m:t>=</m:t>
        </m:r>
        <m:r>
          <m:t>9.02</m:t>
        </m:r>
      </m:oMath>
      <w:r>
        <w:t xml:space="preserve"> km/s,</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BodyText"/>
        <w:jc w:val="both"/>
        <w:keepNext w:val="0"/>
        <w:keepLines w:val="0"/>
        <w:widowControl w:val="1"/>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(3k,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O=[N+]([O-])c1ccncc1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(40k, N-frac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ranked by D; N-fraction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on the DGLD scale)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48 % (SMARTS+SA+min-10-HA)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NC=NCNNCCCNn1cnnn1</w:t>
            </w:r>
            <w:r>
              <w:rPr>
                <w:rFonts w:ascii="Times New Roman" w:hAnsi="Times New Roman"/>
                <w:sz w:val="20"/>
              </w:rPr>
              <w:t xml:space="preserve"> </w:t>
            </w:r>
            <w:r>
              <w:rPr>
                <w:rFonts w:ascii="Times New Roman" w:hAnsi="Times New Roman"/>
                <w:sz w:val="20"/>
              </w:rPr>
              <w:t xml:space="preserve">(15-HA tetrazole chain,</w:t>
            </w:r>
            <w:r>
              <w:rPr>
                <w:rFonts w:ascii="Times New Roman" w:hAnsi="Times New Roman"/>
                <w:sz w:val="20"/>
              </w:rPr>
              <w:t xml:space="preserve"> </w:t>
            </w:r>
            <m:oMath>
              <m:sSub>
                <m:e>
                  <m:r>
                    <m:t>f</m:t>
                  </m:r>
                </m:e>
                <m:sub>
                  <m:r>
                    <m:t>N</m:t>
                  </m:r>
                </m:sub>
              </m:sSub>
              <m:r>
                <m:rPr>
                  <m:sty m:val="p"/>
                </m:rPr>
                <m:t>=</m:t>
              </m:r>
              <m:r>
                <m:t>0.60</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diffusion + guidance (M7 100k)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O=[N+]([O-])OC1C([N+](=O)[O-])=C1[N+](=O)[O-]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Lift (DGLD over Gaussian 3k)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(better)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37"/>
    <w:bookmarkStart w:id="41" w:name="X88105d488b1213661e0c16860dffb753f6720de"/>
    <w:p>
      <w:pPr>
        <w:pStyle w:val="Heading4"/>
        <w:keepNext/>
        <w:keepLines/>
        <w:widowControl w:val="1"/>
      </w:pPr>
      <w:r>
        <w:t xml:space="preserve">F.3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km/s, and top-1</w:t>
      </w:r>
      <w:r>
        <w:t xml:space="preserve"> </w:t>
      </w:r>
      <m:oMath>
        <m:r>
          <m:t>P</m:t>
        </m:r>
      </m:oMath>
      <w:r>
        <w:t xml:space="preserve"> </w:t>
      </w:r>
      <w: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Figure F.1.</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BodyText"/>
        <w:jc w:val="both"/>
        <w:keepNext w:val="0"/>
        <w:keepLines w:val="0"/>
        <w:widowControl w:val="1"/>
      </w:pPr>
      <w:r>
        <w:rPr>
          <w:b/>
          <w:bCs/>
        </w:rPr>
        <w:t xml:space="preserve">Table F.3.</w:t>
      </w:r>
      <w:r>
        <w:t xml:space="preserve"> </w:t>
      </w:r>
      <w: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C0</w:t>
            </w:r>
            <w:r>
              <w:rPr>
                <w:rFonts w:ascii="Times New Roman" w:hAnsi="Times New Roman"/>
                <w:sz w:val="20"/>
              </w:rPr>
              <w:t xml:space="preserve"> </w:t>
            </w:r>
            <w:r>
              <w:rPr>
                <w:rFonts w:ascii="Times New Roman" w:hAnsi="Times New Roman"/>
                <w:sz w:val="20"/>
              </w:rPr>
              <w:t xml:space="preserve">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r>
              <w:rPr>
                <w:rFonts w:ascii="Times New Roman" w:hAnsi="Times New Roman"/>
                <w:sz w:val="20"/>
              </w:rPr>
              <w:t xml:space="preserve"> </w:t>
            </w:r>
            <w:r>
              <w:rPr>
                <w:rFonts w:ascii="Times New Roman" w:hAnsi="Times New Roman"/>
                <w:sz w:val="20"/>
              </w:rPr>
              <w:t xml:space="preserve">(4-nitro-1,2,3,5-oxatriazole)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O=[N+]([O-])c1nnon1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C1</w:t>
            </w:r>
            <w:r>
              <w:rPr>
                <w:rFonts w:ascii="Times New Roman" w:hAnsi="Times New Roman"/>
                <w:sz w:val="20"/>
              </w:rPr>
              <w:t xml:space="preserve"> </w:t>
            </w:r>
            <w:r>
              <w:rPr>
                <w:rFonts w:ascii="Times New Roman" w:hAnsi="Times New Roman"/>
                <w:sz w:val="20"/>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C2</w:t>
            </w:r>
            <w:r>
              <w:rPr>
                <w:rFonts w:ascii="Times New Roman" w:hAnsi="Times New Roman"/>
                <w:sz w:val="20"/>
              </w:rPr>
              <w:t xml:space="preserve"> </w:t>
            </w:r>
            <w:r>
              <w:rPr>
                <w:rFonts w:ascii="Times New Roman" w:hAnsi="Times New Roman"/>
                <w:sz w:val="20"/>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(dinitro-vinylene)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C3</w:t>
            </w:r>
            <w:r>
              <w:rPr>
                <w:rFonts w:ascii="Times New Roman" w:hAnsi="Times New Roman"/>
                <w:sz w:val="20"/>
              </w:rPr>
              <w:t xml:space="preserve"> </w:t>
            </w:r>
            <w:r>
              <w:rPr>
                <w:rFonts w:ascii="Times New Roman" w:hAnsi="Times New Roman"/>
                <w:sz w:val="20"/>
              </w:rPr>
              <w:t xml:space="preserve">hazard-only (</w:t>
            </w:r>
            <m:oMath>
              <m:sSub>
                <m:e>
                  <m:r>
                    <m:t>s</m:t>
                  </m:r>
                </m:e>
                <m:sub>
                  <m:r>
                    <m:rPr>
                      <m:nor/>
                      <m:sty m:val="p"/>
                    </m:rPr>
                    <m:t>hazard</m:t>
                  </m:r>
                </m:sub>
              </m:sSub>
              <m:r>
                <m:t>​</m:t>
              </m:r>
              <m:r>
                <m:rPr>
                  <m:sty m:val="p"/>
                </m:rPr>
                <m:t>=</m:t>
              </m:r>
              <m:r>
                <m:t>​</m:t>
              </m:r>
              <m:r>
                <m:t>2.0</m:t>
              </m:r>
            </m:oMath>
            <w:r>
              <w:rPr>
                <w:rFonts w:ascii="Times New Roman" w:hAnsi="Times New Roman"/>
                <w:sz w:val="20"/>
              </w:rPr>
              <w:t xml:space="preserve">, others=0)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(same as C2)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Heading4"/>
        <w:keepNext/>
        <w:keepLines/>
        <w:widowControl w:val="1"/>
      </w:pPr>
      <w:r>
        <w:t xml:space="preserve">F.4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BodyText"/>
        <w:jc w:val="both"/>
        <w:keepNext w:val="0"/>
        <w:keepLines w:val="0"/>
        <w:widowControl w:val="1"/>
      </w:pPr>
      <w: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BodyText"/>
        <w:jc w:val="both"/>
        <w:keepNext w:val="0"/>
        <w:keepLines w:val="0"/>
        <w:widowControl w:val="1"/>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SA-C1 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SA-C2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r>
              <w:rPr>
                <w:rFonts w:ascii="Times New Roman" w:hAnsi="Times New Roman"/>
                <w:sz w:val="20"/>
              </w:rPr>
              <w:t xml:space="preserve"> </w:t>
            </w:r>
            <w:r>
              <w:rPr>
                <w:rFonts w:ascii="Times New Roman" w:hAnsi="Times New Roman"/>
                <w:sz w:val="20"/>
              </w:rPr>
              <w:t xml:space="preserve">(most novel)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Hz-C3 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DGLD SA-C3 viab+sens+SA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pStyle w:val="BodyText"/>
        <w:spacing w:before="16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(§4.9).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Appendix D.6</w:t>
        </w:r>
      </w:hyperlink>
      <w: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Appendix D.12).</w:t>
      </w:r>
    </w:p>
    <w:bookmarkEnd w:id="42"/>
    <w:bookmarkStart w:id="43" w:name="f.5-m7-five-lane-100k-pool-run"/>
    <w:p>
      <w:pPr>
        <w:pStyle w:val="Heading4"/>
        <w:keepNext/>
        <w:keepLines/>
        <w:widowControl w:val="1"/>
      </w:pPr>
      <w:r>
        <w:t xml:space="preserve">F.5 M7 five-lane 100k-pool run</w:t>
      </w:r>
    </w:p>
    <w:p>
      <w:pPr>
        <w:pStyle w:val="FirstParagraph"/>
        <w:jc w:val="both"/>
        <w:keepNext w:val="0"/>
        <w:keepLines w:val="0"/>
        <w:widowControl w:val="1"/>
      </w:pPr>
      <w: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BodyText"/>
        <w:jc w:val="both"/>
        <w:keepNext w:val="0"/>
        <w:keepLines w:val="0"/>
        <w:widowControl w:val="1"/>
      </w:pPr>
      <w:r>
        <w:rPr>
          <w:b/>
          <w:bCs/>
        </w:rPr>
        <w:t xml:space="preserve">Table F.5.</w:t>
      </w:r>
      <w:r>
        <w:t xml:space="preserve"> </w:t>
      </w:r>
      <w: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Single-lane 40k (§F.3)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2.4 %</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M7 five-lane 100k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4 639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4.6 %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w:t>
            </w:r>
          </w:p>
        </w:tc>
      </w:tr>
    </w:tbl>
    <w:p>
      <w:pPr>
        <w:pStyle w:val="BodyText"/>
        <w:spacing w:before="160"/>
        <w:jc w:val="both"/>
        <w:keepNext w:val="0"/>
        <w:keepLines w:val="0"/>
        <w:widowControl w:val="1"/>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km/s (within 0.04 km/s of the single-lane best), while max</w:t>
      </w:r>
      <w:r>
        <w:t xml:space="preserve"> </w:t>
      </w:r>
      <m:oMath>
        <m:r>
          <m:t>D</m:t>
        </m:r>
      </m:oMath>
      <w:r>
        <w:t xml:space="preserve"> </w:t>
      </w:r>
      <w:r>
        <w:t xml:space="preserve">rises to 9.79 km/s.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43"/>
    <w:bookmarkStart w:id="44" w:name="Xbb5eec533b9640cf8a759e333f6d84316491854"/>
    <w:p>
      <w:pPr>
        <w:pStyle w:val="Heading4"/>
        <w:keepNext/>
        <w:keepLines/>
        <w:widowControl w:val="1"/>
      </w:pPr>
      <w:r>
        <w:t xml:space="preserve">F.6 Tier-gate ablation (perf head trained without label-trust masking)</w:t>
      </w:r>
    </w:p>
    <w:p>
      <w:pPr>
        <w:pStyle w:val="FirstParagraph"/>
        <w:jc w:val="both"/>
        <w:keepNext w:val="0"/>
        <w:keepLines w:val="0"/>
        <w:widowControl w:val="1"/>
      </w:pPr>
      <w: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BodyText"/>
        <w:jc w:val="both"/>
        <w:keepNext w:val="0"/>
        <w:keepLines w:val="0"/>
        <w:widowControl w:val="1"/>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Training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n_feasible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sSub>
                <m:e>
                  <m:r>
                    <m:t>f</m:t>
                  </m:r>
                </m:e>
                <m:sub>
                  <m:r>
                    <m:t>N</m:t>
                  </m:r>
                </m:sub>
              </m:sSub>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val loss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Production (tier-gate on, §4.4)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 §F.3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No tier-gate</w:t>
            </w:r>
            <w:r>
              <w:rPr>
                <w:rFonts w:ascii="Times New Roman" w:hAnsi="Times New Roman"/>
                <w:sz w:val="20"/>
              </w:rPr>
              <w:t xml:space="preserve"> </w:t>
            </w:r>
            <w:r>
              <w:rPr>
                <w:rFonts w:ascii="Times New Roman" w:hAnsi="Times New Roman"/>
                <w:sz w:val="20"/>
              </w:rPr>
              <w:t xml:space="preserve">(ablation)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10 773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53.9 %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[N+][N+]([O-])NC(=N)N[N+]=O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1.178</w:t>
            </w:r>
          </w:p>
        </w:tc>
      </w:tr>
    </w:tbl>
    <w:p>
      <w:pPr>
        <w:pStyle w:val="BodyText"/>
        <w:spacing w:before="16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ReferencesHeading"/>
        <w:jc w:val="left"/>
        <w:keepNext/>
        <w:keepLines/>
        <w:widowControl w:val="1"/>
      </w:pPr>
      <w:r>
        <w:t xml:space="preserve">References</w:t>
      </w:r>
    </w:p>
    <w:p>
      <w:pPr>
        <w:pStyle w:val="ReferenceEntry"/>
        <w:numPr>
          <w:ilvl w:val="0"/>
          <w:numId w:val="1004"/>
        </w:numPr>
        <w:jc w:val="left"/>
        <w:keepNext w:val="0"/>
        <w:keepLines w:val="0"/>
        <w:widowControl w:val="1"/>
      </w:pPr>
      <w:bookmarkStart w:id="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47"/>
    </w:p>
    <w:p>
      <w:pPr>
        <w:pStyle w:val="ReferenceEntry"/>
        <w:numPr>
          <w:ilvl w:val="0"/>
          <w:numId w:val="1004"/>
        </w:numPr>
        <w:jc w:val="left"/>
        <w:keepNext w:val="0"/>
        <w:keepLines w:val="0"/>
        <w:widowControl w:val="1"/>
      </w:pPr>
      <w:bookmarkStart w:id="4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48"/>
    </w:p>
    <w:p>
      <w:pPr>
        <w:pStyle w:val="ReferenceEntry"/>
        <w:numPr>
          <w:ilvl w:val="0"/>
          <w:numId w:val="1004"/>
        </w:numPr>
        <w:jc w:val="left"/>
        <w:keepNext w:val="0"/>
        <w:keepLines w:val="0"/>
        <w:widowControl w:val="1"/>
      </w:pPr>
      <w:bookmarkStart w:id="4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49"/>
    </w:p>
    <w:p>
      <w:pPr>
        <w:pStyle w:val="ReferenceEntry"/>
        <w:numPr>
          <w:ilvl w:val="0"/>
          <w:numId w:val="1004"/>
        </w:numPr>
        <w:jc w:val="left"/>
        <w:keepNext w:val="0"/>
        <w:keepLines w:val="0"/>
        <w:widowControl w:val="1"/>
      </w:pPr>
      <w:bookmarkStart w:id="50" w:name="ref-reidenbach2023molmim"/>
      <w:r>
        <w:t xml:space="preserve">Reidenbach, D., Livne, M., Ilango, R. K., Gill, M., &amp; Israeli, J. (2023). MolMIM: A Molecular Language Model for Property-Guided Molecule Generation via Mutual Information Machines. (MLDD Workshop, ICLR 2023; arXiv:2208.09016).</w:t>
      </w:r>
      <w:bookmarkEnd w:id="50"/>
    </w:p>
    <w:p>
      <w:pPr>
        <w:pStyle w:val="ReferenceEntry"/>
        <w:numPr>
          <w:ilvl w:val="0"/>
          <w:numId w:val="1004"/>
        </w:numPr>
        <w:jc w:val="left"/>
        <w:keepNext w:val="0"/>
        <w:keepLines w:val="0"/>
        <w:widowControl w:val="1"/>
      </w:pPr>
      <w:bookmarkStart w:id="5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51"/>
    </w:p>
    <w:p>
      <w:pPr>
        <w:pStyle w:val="ReferenceEntry"/>
        <w:numPr>
          <w:ilvl w:val="0"/>
          <w:numId w:val="1004"/>
        </w:numPr>
        <w:jc w:val="left"/>
        <w:keepNext w:val="0"/>
        <w:keepLines w:val="0"/>
        <w:widowControl w:val="1"/>
      </w:pPr>
      <w:bookmarkStart w:id="5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52"/>
    </w:p>
    <w:p>
      <w:pPr>
        <w:pStyle w:val="ReferenceEntry"/>
        <w:numPr>
          <w:ilvl w:val="0"/>
          <w:numId w:val="1004"/>
        </w:numPr>
        <w:jc w:val="left"/>
        <w:keepNext w:val="0"/>
        <w:keepLines w:val="0"/>
        <w:widowControl w:val="1"/>
      </w:pPr>
      <w:bookmarkStart w:id="5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53"/>
    </w:p>
    <w:p>
      <w:pPr>
        <w:pStyle w:val="ReferenceEntry"/>
        <w:numPr>
          <w:ilvl w:val="0"/>
          <w:numId w:val="1004"/>
        </w:numPr>
        <w:jc w:val="left"/>
        <w:keepNext w:val="0"/>
        <w:keepLines w:val="0"/>
        <w:widowControl w:val="1"/>
      </w:pPr>
      <w:bookmarkStart w:id="54" w:name="ref-vignac2023digress"/>
      <w:r>
        <w:t xml:space="preserve">Vignac, C. et al. (2023). DiGress: Discrete Denoising Diffusion for Graph Generation.</w:t>
      </w:r>
      <w:r>
        <w:t xml:space="preserve"> </w:t>
      </w:r>
      <w:r>
        <w:rPr>
          <w:i/>
          <w:iCs/>
        </w:rPr>
        <w:t xml:space="preserve">ICLR 2023</w:t>
      </w:r>
      <w:r>
        <w:t xml:space="preserve">. arXiv:2209.14734.</w:t>
      </w:r>
      <w:bookmarkEnd w:id="54"/>
    </w:p>
    <w:p>
      <w:pPr>
        <w:pStyle w:val="ReferenceEntry"/>
        <w:numPr>
          <w:ilvl w:val="0"/>
          <w:numId w:val="1004"/>
        </w:numPr>
        <w:jc w:val="left"/>
        <w:keepNext w:val="0"/>
        <w:keepLines w:val="0"/>
        <w:widowControl w:val="1"/>
      </w:pPr>
      <w:bookmarkStart w:id="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55"/>
    </w:p>
    <w:p>
      <w:pPr>
        <w:pStyle w:val="ReferenceEntry"/>
        <w:numPr>
          <w:ilvl w:val="0"/>
          <w:numId w:val="1004"/>
        </w:numPr>
        <w:jc w:val="left"/>
        <w:keepNext w:val="0"/>
        <w:keepLines w:val="0"/>
        <w:widowControl w:val="1"/>
      </w:pPr>
      <w:bookmarkStart w:id="5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56"/>
    </w:p>
    <w:p>
      <w:pPr>
        <w:pStyle w:val="ReferenceEntry"/>
        <w:numPr>
          <w:ilvl w:val="0"/>
          <w:numId w:val="1004"/>
        </w:numPr>
        <w:jc w:val="left"/>
        <w:keepNext w:val="0"/>
        <w:keepLines w:val="0"/>
        <w:widowControl w:val="1"/>
      </w:pPr>
      <w:bookmarkStart w:id="5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57"/>
    </w:p>
    <w:p>
      <w:pPr>
        <w:pStyle w:val="ReferenceEntry"/>
        <w:numPr>
          <w:ilvl w:val="0"/>
          <w:numId w:val="1004"/>
        </w:numPr>
        <w:jc w:val="left"/>
        <w:keepNext w:val="0"/>
        <w:keepLines w:val="0"/>
        <w:widowControl w:val="1"/>
      </w:pPr>
      <w:bookmarkStart w:id="59" w:name="ref-daylight-smarts"/>
      <w:r>
        <w:t xml:space="preserve">Daylight Chemical Information Systems. (2007). SMARTS: A Language for Describing Molecular Patterns. Daylight Theory Manual, Aliso Viejo, CA.</w:t>
      </w:r>
      <w:r>
        <w:t xml:space="preserve"> </w:t>
      </w:r>
      <w:hyperlink r:id="rId58">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ReferenceEntry"/>
        <w:numPr>
          <w:ilvl w:val="0"/>
          <w:numId w:val="1004"/>
        </w:numPr>
        <w:jc w:val="left"/>
        <w:keepNext w:val="0"/>
        <w:keepLines w:val="0"/>
        <w:widowControl w:val="1"/>
      </w:pPr>
      <w:bookmarkStart w:id="6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60"/>
    </w:p>
    <w:p>
      <w:pPr>
        <w:pStyle w:val="ReferenceEntry"/>
        <w:numPr>
          <w:ilvl w:val="0"/>
          <w:numId w:val="1004"/>
        </w:numPr>
        <w:jc w:val="left"/>
        <w:keepNext w:val="0"/>
        <w:keepLines w:val="0"/>
        <w:widowControl w:val="1"/>
      </w:pPr>
      <w:bookmarkStart w:id="6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ReferenceEntry"/>
        <w:numPr>
          <w:ilvl w:val="0"/>
          <w:numId w:val="1004"/>
        </w:numPr>
        <w:jc w:val="left"/>
        <w:keepNext w:val="0"/>
        <w:keepLines w:val="0"/>
        <w:widowControl w:val="1"/>
      </w:pPr>
      <w:bookmarkStart w:id="6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ReferenceEntry"/>
        <w:numPr>
          <w:ilvl w:val="0"/>
          <w:numId w:val="1004"/>
        </w:numPr>
        <w:jc w:val="left"/>
        <w:keepNext w:val="0"/>
        <w:keepLines w:val="0"/>
        <w:widowControl w:val="1"/>
      </w:pPr>
      <w:bookmarkStart w:id="6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63"/>
    </w:p>
    <w:p>
      <w:pPr>
        <w:pStyle w:val="ReferenceEntry"/>
        <w:numPr>
          <w:ilvl w:val="0"/>
          <w:numId w:val="1004"/>
        </w:numPr>
        <w:jc w:val="left"/>
        <w:keepNext w:val="0"/>
        <w:keepLines w:val="0"/>
        <w:widowControl w:val="1"/>
      </w:pPr>
      <w:bookmarkStart w:id="6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64"/>
    </w:p>
    <w:p>
      <w:pPr>
        <w:pStyle w:val="ReferenceEntry"/>
        <w:numPr>
          <w:ilvl w:val="0"/>
          <w:numId w:val="1004"/>
        </w:numPr>
        <w:jc w:val="left"/>
        <w:keepNext w:val="0"/>
        <w:keepLines w:val="0"/>
        <w:widowControl w:val="1"/>
      </w:pPr>
      <w:bookmarkStart w:id="65"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5"/>
    </w:p>
    <w:p>
      <w:pPr>
        <w:pStyle w:val="ReferenceEntry"/>
        <w:numPr>
          <w:ilvl w:val="0"/>
          <w:numId w:val="1004"/>
        </w:numPr>
        <w:jc w:val="left"/>
        <w:keepNext w:val="0"/>
        <w:keepLines w:val="0"/>
        <w:widowControl w:val="1"/>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ReferenceEntry"/>
        <w:numPr>
          <w:ilvl w:val="0"/>
          <w:numId w:val="1004"/>
        </w:numPr>
        <w:jc w:val="left"/>
        <w:keepNext w:val="0"/>
        <w:keepLines w:val="0"/>
        <w:widowControl w:val="1"/>
      </w:pPr>
      <w:bookmarkStart w:id="6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67"/>
    </w:p>
    <w:p>
      <w:pPr>
        <w:pStyle w:val="ReferenceEntry"/>
        <w:numPr>
          <w:ilvl w:val="0"/>
          <w:numId w:val="1004"/>
        </w:numPr>
        <w:jc w:val="left"/>
        <w:keepNext w:val="0"/>
        <w:keepLines w:val="0"/>
        <w:widowControl w:val="1"/>
      </w:pPr>
      <w:bookmarkStart w:id="6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68"/>
    </w:p>
    <w:p>
      <w:pPr>
        <w:pStyle w:val="ReferenceEntry"/>
        <w:numPr>
          <w:ilvl w:val="0"/>
          <w:numId w:val="1004"/>
        </w:numPr>
        <w:jc w:val="left"/>
        <w:keepNext w:val="0"/>
        <w:keepLines w:val="0"/>
        <w:widowControl w:val="1"/>
      </w:pPr>
      <w:bookmarkStart w:id="69" w:name="ref-sabatini2018"/>
      <w:r>
        <w:t xml:space="preserve">Sabatini, J. J. (2018). A Review of Nitroisoxazole-Based Energetic Compounds.</w:t>
      </w:r>
      <w:r>
        <w:t xml:space="preserve"> </w:t>
      </w:r>
      <w:r>
        <w:rPr>
          <w:i/>
          <w:iCs/>
        </w:rPr>
        <w:t xml:space="preserve">Propellants, Explosives, Pyrotechnics 43(1)</w:t>
      </w:r>
      <w:r>
        <w:t xml:space="preserve">:28–37. doi:10.1002/prep.201700225.</w:t>
      </w:r>
      <w:bookmarkEnd w:id="69"/>
    </w:p>
    <w:p>
      <w:pPr>
        <w:pStyle w:val="ReferenceEntry"/>
        <w:numPr>
          <w:ilvl w:val="0"/>
          <w:numId w:val="1004"/>
        </w:numPr>
        <w:jc w:val="left"/>
        <w:keepNext w:val="0"/>
        <w:keepLines w:val="0"/>
        <w:widowControl w:val="1"/>
      </w:pPr>
      <w:bookmarkStart w:id="7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70"/>
    </w:p>
    <w:p>
      <w:pPr>
        <w:pStyle w:val="ReferenceEntry"/>
        <w:numPr>
          <w:ilvl w:val="0"/>
          <w:numId w:val="1004"/>
        </w:numPr>
        <w:jc w:val="left"/>
        <w:keepNext w:val="0"/>
        <w:keepLines w:val="0"/>
        <w:widowControl w:val="1"/>
      </w:pPr>
      <w:bookmarkStart w:id="71" w:name="ref-ho2022cfg"/>
      <w:r>
        <w:t xml:space="preserve">Ho, J., &amp; Salimans, T. (2022). Classifier-Free Diffusion Guidance. arXiv:2207.12598.</w:t>
      </w:r>
      <w:bookmarkEnd w:id="71"/>
    </w:p>
    <w:p>
      <w:pPr>
        <w:pStyle w:val="ReferenceEntry"/>
        <w:numPr>
          <w:ilvl w:val="0"/>
          <w:numId w:val="1004"/>
        </w:numPr>
        <w:jc w:val="left"/>
        <w:keepNext w:val="0"/>
        <w:keepLines w:val="0"/>
        <w:widowControl w:val="1"/>
      </w:pPr>
      <w:bookmarkStart w:id="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72"/>
    </w:p>
    <w:p>
      <w:pPr>
        <w:pStyle w:val="ReferenceEntry"/>
        <w:numPr>
          <w:ilvl w:val="0"/>
          <w:numId w:val="1004"/>
        </w:numPr>
        <w:jc w:val="left"/>
        <w:keepNext w:val="0"/>
        <w:keepLines w:val="0"/>
        <w:widowControl w:val="1"/>
      </w:pPr>
      <w:bookmarkStart w:id="7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73"/>
    </w:p>
    <w:p>
      <w:pPr>
        <w:pStyle w:val="ReferenceEntry"/>
        <w:numPr>
          <w:ilvl w:val="0"/>
          <w:numId w:val="1004"/>
        </w:numPr>
        <w:jc w:val="left"/>
        <w:keepNext w:val="0"/>
        <w:keepLines w:val="0"/>
        <w:widowControl w:val="1"/>
      </w:pPr>
      <w:bookmarkStart w:id="7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74"/>
    </w:p>
    <w:p>
      <w:pPr>
        <w:pStyle w:val="ReferenceEntry"/>
        <w:numPr>
          <w:ilvl w:val="0"/>
          <w:numId w:val="1004"/>
        </w:numPr>
        <w:jc w:val="left"/>
        <w:keepNext w:val="0"/>
        <w:keepLines w:val="0"/>
        <w:widowControl w:val="1"/>
      </w:pPr>
      <w:bookmarkStart w:id="75" w:name="ref-ho2020ddpm"/>
      <w:r>
        <w:t xml:space="preserve">Ho, J., Jain, A., &amp; Abbeel, P. (2020). Denoising Diffusion Probabilistic Models.</w:t>
      </w:r>
      <w:r>
        <w:t xml:space="preserve"> </w:t>
      </w:r>
      <w:r>
        <w:rPr>
          <w:i/>
          <w:iCs/>
        </w:rPr>
        <w:t xml:space="preserve">NeurIPS 2020</w:t>
      </w:r>
      <w:r>
        <w:t xml:space="preserve">. arXiv:2006.11239.</w:t>
      </w:r>
      <w:bookmarkEnd w:id="75"/>
    </w:p>
    <w:p>
      <w:pPr>
        <w:pStyle w:val="ReferenceEntry"/>
        <w:numPr>
          <w:ilvl w:val="0"/>
          <w:numId w:val="1004"/>
        </w:numPr>
        <w:jc w:val="left"/>
        <w:keepNext w:val="0"/>
        <w:keepLines w:val="0"/>
        <w:widowControl w:val="1"/>
      </w:pPr>
      <w:bookmarkStart w:id="7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76"/>
    </w:p>
    <w:p>
      <w:pPr>
        <w:pStyle w:val="ReferenceEntry"/>
        <w:numPr>
          <w:ilvl w:val="0"/>
          <w:numId w:val="1004"/>
        </w:numPr>
        <w:jc w:val="left"/>
        <w:keepNext w:val="0"/>
        <w:keepLines w:val="0"/>
        <w:widowControl w:val="1"/>
      </w:pPr>
      <w:bookmarkStart w:id="7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7"/>
    </w:p>
    <w:p>
      <w:pPr>
        <w:pStyle w:val="ReferenceEntry"/>
        <w:numPr>
          <w:ilvl w:val="0"/>
          <w:numId w:val="1004"/>
        </w:numPr>
        <w:jc w:val="left"/>
        <w:keepNext w:val="0"/>
        <w:keepLines w:val="0"/>
        <w:widowControl w:val="1"/>
      </w:pPr>
      <w:bookmarkStart w:id="7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78"/>
    </w:p>
    <w:p>
      <w:pPr>
        <w:pStyle w:val="ReferenceEntry"/>
        <w:numPr>
          <w:ilvl w:val="0"/>
          <w:numId w:val="1004"/>
        </w:numPr>
        <w:jc w:val="left"/>
        <w:keepNext w:val="0"/>
        <w:keepLines w:val="0"/>
        <w:widowControl w:val="1"/>
      </w:pPr>
      <w:bookmarkStart w:id="7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79"/>
    </w:p>
    <w:p>
      <w:pPr>
        <w:pStyle w:val="ReferenceEntry"/>
        <w:numPr>
          <w:ilvl w:val="0"/>
          <w:numId w:val="1004"/>
        </w:numPr>
        <w:jc w:val="left"/>
        <w:keepNext w:val="0"/>
        <w:keepLines w:val="0"/>
        <w:widowControl w:val="1"/>
      </w:pPr>
      <w:bookmarkStart w:id="80" w:name="ref-rogers1960computer"/>
      <w:r>
        <w:t xml:space="preserve">Rogers, D. J., &amp; Tanimoto, T. T. (1960). A Computer Program for Classifying Plants.</w:t>
      </w:r>
      <w:r>
        <w:t xml:space="preserve"> </w:t>
      </w:r>
      <w:r>
        <w:rPr>
          <w:i/>
          <w:iCs/>
        </w:rPr>
        <w:t xml:space="preserve">Science 132(3434)</w:t>
      </w:r>
      <w:r>
        <w:t xml:space="preserve">:1115–1118.</w:t>
      </w:r>
      <w:bookmarkEnd w:id="80"/>
    </w:p>
    <w:p>
      <w:pPr>
        <w:pStyle w:val="ReferenceEntry"/>
        <w:numPr>
          <w:ilvl w:val="0"/>
          <w:numId w:val="1004"/>
        </w:numPr>
        <w:jc w:val="left"/>
        <w:keepNext w:val="0"/>
        <w:keepLines w:val="0"/>
        <w:widowControl w:val="1"/>
      </w:pPr>
      <w:bookmarkStart w:id="82" w:name="ref-landrum2024rdkit"/>
      <w:r>
        <w:t xml:space="preserve">Landrum, G., &amp; contributors. RDKit: Open-source cheminformatics.</w:t>
      </w:r>
      <w:r>
        <w:t xml:space="preserve"> </w:t>
      </w:r>
      <w:hyperlink r:id="rId81">
        <w:r>
          <w:rPr>
            <w:rStyle w:val="Hyperlink"/>
          </w:rPr>
          <w:t xml:space="preserve">rdkit.org</w:t>
        </w:r>
      </w:hyperlink>
      <w:r>
        <w:t xml:space="preserve">.</w:t>
      </w:r>
      <w:bookmarkEnd w:id="82"/>
    </w:p>
    <w:p>
      <w:pPr>
        <w:pStyle w:val="ReferenceEntry"/>
        <w:numPr>
          <w:ilvl w:val="0"/>
          <w:numId w:val="1004"/>
        </w:numPr>
        <w:jc w:val="left"/>
        <w:keepNext w:val="0"/>
        <w:keepLines w:val="0"/>
        <w:widowControl w:val="1"/>
      </w:pPr>
      <w:bookmarkStart w:id="83" w:name="ref-sterling2015zinc"/>
      <w:r>
        <w:t xml:space="preserve">Sterling, T., &amp; Irwin, J. J. (2015). ZINC 15: Ligand Discovery for Everyone.</w:t>
      </w:r>
      <w:r>
        <w:t xml:space="preserve"> </w:t>
      </w:r>
      <w:r>
        <w:rPr>
          <w:i/>
          <w:iCs/>
        </w:rPr>
        <w:t xml:space="preserve">J. Chem. Inf. Model. 55(11)</w:t>
      </w:r>
      <w:r>
        <w:t xml:space="preserve">:2324–2337.</w:t>
      </w:r>
      <w:bookmarkEnd w:id="83"/>
    </w:p>
    <w:p>
      <w:pPr>
        <w:pStyle w:val="ReferenceEntry"/>
        <w:numPr>
          <w:ilvl w:val="0"/>
          <w:numId w:val="1004"/>
        </w:numPr>
        <w:jc w:val="left"/>
        <w:keepNext w:val="0"/>
        <w:keepLines w:val="0"/>
        <w:widowControl w:val="1"/>
      </w:pPr>
      <w:bookmarkStart w:id="84" w:name="ref-kim2023pubchem"/>
      <w:r>
        <w:t xml:space="preserve">Kim, S. et al. (2023). PubChem 2023 Update.</w:t>
      </w:r>
      <w:r>
        <w:t xml:space="preserve"> </w:t>
      </w:r>
      <w:r>
        <w:rPr>
          <w:i/>
          <w:iCs/>
        </w:rPr>
        <w:t xml:space="preserve">Nucleic Acids Res. 51(D1)</w:t>
      </w:r>
      <w:r>
        <w:t xml:space="preserve">:D1373–D1380.</w:t>
      </w:r>
      <w:bookmarkEnd w:id="84"/>
    </w:p>
    <w:p>
      <w:pPr>
        <w:pStyle w:val="ReferenceEntry"/>
        <w:numPr>
          <w:ilvl w:val="0"/>
          <w:numId w:val="1004"/>
        </w:numPr>
        <w:jc w:val="left"/>
        <w:keepNext w:val="0"/>
        <w:keepLines w:val="0"/>
        <w:widowControl w:val="1"/>
      </w:pPr>
      <w:bookmarkStart w:id="85" w:name="ref-jaegle2021perceiver"/>
      <w:r>
        <w:t xml:space="preserve">Jaegle, A. et al. (2021). Perceiver: General Perception with Iterative Attention.</w:t>
      </w:r>
      <w:r>
        <w:t xml:space="preserve"> </w:t>
      </w:r>
      <w:r>
        <w:rPr>
          <w:i/>
          <w:iCs/>
        </w:rPr>
        <w:t xml:space="preserve">ICML 2021</w:t>
      </w:r>
      <w:r>
        <w:t xml:space="preserve">. arXiv:2103.03206.</w:t>
      </w:r>
      <w:bookmarkEnd w:id="85"/>
    </w:p>
    <w:p>
      <w:pPr>
        <w:pStyle w:val="ReferenceEntry"/>
        <w:numPr>
          <w:ilvl w:val="0"/>
          <w:numId w:val="1004"/>
        </w:numPr>
        <w:jc w:val="left"/>
        <w:keepNext w:val="0"/>
        <w:keepLines w:val="0"/>
        <w:widowControl w:val="1"/>
      </w:pPr>
      <w:bookmarkStart w:id="8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86"/>
    </w:p>
    <w:p>
      <w:pPr>
        <w:pStyle w:val="ReferenceEntry"/>
        <w:numPr>
          <w:ilvl w:val="0"/>
          <w:numId w:val="1004"/>
        </w:numPr>
        <w:jc w:val="left"/>
        <w:keepNext w:val="0"/>
        <w:keepLines w:val="0"/>
        <w:widowControl w:val="1"/>
      </w:pPr>
      <w:bookmarkStart w:id="8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87"/>
    </w:p>
    <w:p>
      <w:pPr>
        <w:pStyle w:val="ReferenceEntry"/>
        <w:numPr>
          <w:ilvl w:val="0"/>
          <w:numId w:val="1004"/>
        </w:numPr>
        <w:jc w:val="left"/>
        <w:keepNext w:val="0"/>
        <w:keepLines w:val="0"/>
        <w:widowControl w:val="1"/>
      </w:pPr>
      <w:bookmarkStart w:id="8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88"/>
    </w:p>
    <w:p>
      <w:pPr>
        <w:pStyle w:val="ReferenceEntry"/>
        <w:numPr>
          <w:ilvl w:val="0"/>
          <w:numId w:val="1004"/>
        </w:numPr>
        <w:jc w:val="left"/>
        <w:keepNext w:val="0"/>
        <w:keepLines w:val="0"/>
        <w:widowControl w:val="1"/>
      </w:pPr>
      <w:bookmarkStart w:id="8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89"/>
    </w:p>
    <w:p>
      <w:pPr>
        <w:pStyle w:val="ReferenceEntry"/>
        <w:numPr>
          <w:ilvl w:val="0"/>
          <w:numId w:val="1004"/>
        </w:numPr>
        <w:jc w:val="left"/>
        <w:keepNext w:val="0"/>
        <w:keepLines w:val="0"/>
        <w:widowControl w:val="1"/>
      </w:pPr>
      <w:bookmarkStart w:id="9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90"/>
    </w:p>
    <w:p>
      <w:pPr>
        <w:pStyle w:val="ReferenceEntry"/>
        <w:numPr>
          <w:ilvl w:val="0"/>
          <w:numId w:val="1004"/>
        </w:numPr>
        <w:jc w:val="left"/>
        <w:keepNext w:val="0"/>
        <w:keepLines w:val="0"/>
        <w:widowControl w:val="1"/>
      </w:pPr>
      <w:bookmarkStart w:id="9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91"/>
    </w:p>
    <w:p>
      <w:pPr>
        <w:pStyle w:val="ReferenceEntry"/>
        <w:numPr>
          <w:ilvl w:val="0"/>
          <w:numId w:val="1004"/>
        </w:numPr>
        <w:jc w:val="left"/>
        <w:keepNext w:val="0"/>
        <w:keepLines w:val="0"/>
        <w:widowControl w:val="1"/>
      </w:pPr>
      <w:bookmarkStart w:id="9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2"/>
    </w:p>
    <w:p>
      <w:pPr>
        <w:pStyle w:val="ReferenceEntry"/>
        <w:numPr>
          <w:ilvl w:val="0"/>
          <w:numId w:val="1004"/>
        </w:numPr>
        <w:jc w:val="left"/>
        <w:keepNext w:val="0"/>
        <w:keepLines w:val="0"/>
        <w:widowControl w:val="1"/>
      </w:pPr>
      <w:bookmarkStart w:id="9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3"/>
    </w:p>
    <w:p>
      <w:pPr>
        <w:pStyle w:val="ReferenceEntry"/>
        <w:numPr>
          <w:ilvl w:val="0"/>
          <w:numId w:val="1004"/>
        </w:numPr>
        <w:jc w:val="left"/>
        <w:keepNext w:val="0"/>
        <w:keepLines w:val="0"/>
        <w:widowControl w:val="1"/>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ReferenceEntry"/>
        <w:numPr>
          <w:ilvl w:val="0"/>
          <w:numId w:val="1004"/>
        </w:numPr>
        <w:jc w:val="left"/>
        <w:keepNext w:val="0"/>
        <w:keepLines w:val="0"/>
        <w:widowControl w:val="1"/>
      </w:pPr>
      <w:bookmarkStart w:id="9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5"/>
    </w:p>
    <w:p>
      <w:pPr>
        <w:pStyle w:val="ReferenceEntry"/>
        <w:numPr>
          <w:ilvl w:val="0"/>
          <w:numId w:val="1004"/>
        </w:numPr>
        <w:jc w:val="left"/>
        <w:keepNext w:val="0"/>
        <w:keepLines w:val="0"/>
        <w:widowControl w:val="1"/>
      </w:pPr>
      <w:bookmarkStart w:id="9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96"/>
    </w:p>
    <w:p>
      <w:pPr>
        <w:pStyle w:val="ReferenceEntry"/>
        <w:numPr>
          <w:ilvl w:val="0"/>
          <w:numId w:val="1004"/>
        </w:numPr>
        <w:jc w:val="left"/>
        <w:keepNext w:val="0"/>
        <w:keepLines w:val="0"/>
        <w:widowControl w:val="1"/>
      </w:pPr>
      <w:bookmarkStart w:id="97" w:name="ref-klapotke2017nitrogen"/>
      <w:r>
        <w:t xml:space="preserve">Klapötke, T. M.</w:t>
      </w:r>
      <w:r>
        <w:t xml:space="preserve"> </w:t>
      </w:r>
      <w:r>
        <w:rPr>
          <w:i/>
          <w:iCs/>
        </w:rPr>
        <w:t xml:space="preserve">Chemistry of High-Energy Materials</w:t>
      </w:r>
      <w:r>
        <w:t xml:space="preserve">, 5th ed. (de Gruyter, 2019). doi:10.1515/9783110624571.</w:t>
      </w:r>
      <w:bookmarkEnd w:id="97"/>
    </w:p>
    <w:p>
      <w:pPr>
        <w:pStyle w:val="ReferenceEntry"/>
        <w:numPr>
          <w:ilvl w:val="0"/>
          <w:numId w:val="1004"/>
        </w:numPr>
        <w:jc w:val="left"/>
        <w:keepNext w:val="0"/>
        <w:keepLines w:val="0"/>
        <w:widowControl w:val="1"/>
      </w:pPr>
      <w:bookmarkStart w:id="9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8"/>
    </w:p>
    <w:p>
      <w:pPr>
        <w:pStyle w:val="ReferenceEntry"/>
        <w:numPr>
          <w:ilvl w:val="0"/>
          <w:numId w:val="1004"/>
        </w:numPr>
        <w:jc w:val="left"/>
        <w:keepNext w:val="0"/>
        <w:keepLines w:val="0"/>
        <w:widowControl w:val="1"/>
      </w:pPr>
      <w:bookmarkStart w:id="9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99"/>
    </w:p>
    <w:p>
      <w:pPr>
        <w:pStyle w:val="ReferenceEntry"/>
        <w:numPr>
          <w:ilvl w:val="0"/>
          <w:numId w:val="1004"/>
        </w:numPr>
        <w:jc w:val="left"/>
        <w:keepNext w:val="0"/>
        <w:keepLines w:val="0"/>
        <w:widowControl w:val="1"/>
      </w:pPr>
      <w:bookmarkStart w:id="10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0"/>
    </w:p>
    <w:p>
      <w:pPr>
        <w:pStyle w:val="ReferenceEntry"/>
        <w:numPr>
          <w:ilvl w:val="0"/>
          <w:numId w:val="1004"/>
        </w:numPr>
        <w:jc w:val="left"/>
        <w:keepNext w:val="0"/>
        <w:keepLines w:val="0"/>
        <w:widowControl w:val="1"/>
      </w:pPr>
      <w:bookmarkStart w:id="10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1"/>
    </w:p>
    <w:p>
      <w:pPr>
        <w:pStyle w:val="ReferenceEntry"/>
        <w:numPr>
          <w:ilvl w:val="0"/>
          <w:numId w:val="1004"/>
        </w:numPr>
        <w:jc w:val="left"/>
        <w:keepNext w:val="0"/>
        <w:keepLines w:val="0"/>
        <w:widowControl w:val="1"/>
      </w:pPr>
      <w:bookmarkStart w:id="10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2"/>
    </w:p>
    <w:p>
      <w:pPr>
        <w:pStyle w:val="ReferenceEntry"/>
        <w:numPr>
          <w:ilvl w:val="0"/>
          <w:numId w:val="1004"/>
        </w:numPr>
        <w:jc w:val="left"/>
        <w:keepNext w:val="0"/>
        <w:keepLines w:val="0"/>
        <w:widowControl w:val="1"/>
      </w:pPr>
      <w:bookmarkStart w:id="10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03"/>
    </w:p>
    <w:p>
      <w:pPr>
        <w:pStyle w:val="ReferenceEntry"/>
        <w:numPr>
          <w:ilvl w:val="0"/>
          <w:numId w:val="1004"/>
        </w:numPr>
        <w:jc w:val="left"/>
        <w:keepNext w:val="0"/>
        <w:keepLines w:val="0"/>
        <w:widowControl w:val="1"/>
      </w:pPr>
      <w:bookmarkStart w:id="10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04"/>
    </w:p>
    <w:p>
      <w:pPr>
        <w:pStyle w:val="ReferenceEntry"/>
        <w:numPr>
          <w:ilvl w:val="0"/>
          <w:numId w:val="1004"/>
        </w:numPr>
        <w:jc w:val="left"/>
        <w:keepNext w:val="0"/>
        <w:keepLines w:val="0"/>
        <w:widowControl w:val="1"/>
      </w:pPr>
      <w:bookmarkStart w:id="105" w:name="ref-reymond2015gdb"/>
      <w:r>
        <w:t xml:space="preserve">Reymond, J.-L. (2015). The chemical space project.</w:t>
      </w:r>
      <w:r>
        <w:t xml:space="preserve"> </w:t>
      </w:r>
      <w:r>
        <w:rPr>
          <w:i/>
          <w:iCs/>
        </w:rPr>
        <w:t xml:space="preserve">Acc. Chem. Res. 48(3)</w:t>
      </w:r>
      <w:r>
        <w:t xml:space="preserve">:722–730.</w:t>
      </w:r>
      <w:bookmarkEnd w:id="105"/>
    </w:p>
    <w:p>
      <w:pPr>
        <w:pStyle w:val="ReferenceEntry"/>
        <w:numPr>
          <w:ilvl w:val="0"/>
          <w:numId w:val="1004"/>
        </w:numPr>
        <w:jc w:val="left"/>
        <w:keepNext w:val="0"/>
        <w:keepLines w:val="0"/>
        <w:widowControl w:val="1"/>
      </w:pPr>
      <w:bookmarkStart w:id="10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106"/>
    </w:p>
    <w:p>
      <w:pPr>
        <w:pStyle w:val="ReferenceEntry"/>
        <w:numPr>
          <w:ilvl w:val="0"/>
          <w:numId w:val="1004"/>
        </w:numPr>
        <w:jc w:val="left"/>
        <w:keepNext w:val="0"/>
        <w:keepLines w:val="0"/>
        <w:widowControl w:val="1"/>
      </w:pPr>
      <w:bookmarkStart w:id="108" w:name="ref-cameo"/>
      <w:r>
        <w:t xml:space="preserve">NIST CAMEO Chemicals: Database of Hazardous Materials and Reactivity.</w:t>
      </w:r>
      <w:r>
        <w:t xml:space="preserve"> </w:t>
      </w:r>
      <w:hyperlink r:id="rId107">
        <w:r>
          <w:rPr>
            <w:rStyle w:val="Hyperlink"/>
          </w:rPr>
          <w:t xml:space="preserve">cameochemicals.noaa.gov</w:t>
        </w:r>
      </w:hyperlink>
      <w:r>
        <w:t xml:space="preserve">.</w:t>
      </w:r>
      <w:bookmarkEnd w:id="108"/>
    </w:p>
    <w:p>
      <w:pPr>
        <w:pStyle w:val="ReferenceEntry"/>
        <w:numPr>
          <w:ilvl w:val="0"/>
          <w:numId w:val="1004"/>
        </w:numPr>
        <w:jc w:val="left"/>
        <w:keepNext w:val="0"/>
        <w:keepLines w:val="0"/>
        <w:widowControl w:val="1"/>
      </w:pPr>
      <w:bookmarkStart w:id="109" w:name="ref-bruns2020watson"/>
      <w:r>
        <w:t xml:space="preserve">Bruns, H., &amp; Watson, P. (2020). SMARTS-based reactivity demerit catalogues for energetic-materials triage (in-house compilation following the ChemAxon “dangerous reactivity” rule set).</w:t>
      </w:r>
      <w:bookmarkEnd w:id="109"/>
    </w:p>
    <w:p>
      <w:pPr>
        <w:pStyle w:val="ReferenceEntry"/>
        <w:numPr>
          <w:ilvl w:val="0"/>
          <w:numId w:val="1004"/>
        </w:numPr>
        <w:jc w:val="left"/>
        <w:keepNext w:val="0"/>
        <w:keepLines w:val="0"/>
        <w:widowControl w:val="1"/>
      </w:pPr>
      <w:bookmarkStart w:id="11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10"/>
    </w:p>
    <w:p>
      <w:pPr>
        <w:pStyle w:val="ReferenceEntry"/>
        <w:numPr>
          <w:ilvl w:val="0"/>
          <w:numId w:val="1004"/>
        </w:numPr>
        <w:jc w:val="left"/>
        <w:keepNext w:val="0"/>
        <w:keepLines w:val="0"/>
        <w:widowControl w:val="1"/>
      </w:pPr>
      <w:bookmarkStart w:id="11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11"/>
    </w:p>
    <w:p>
      <w:pPr>
        <w:pStyle w:val="ReferenceEntry"/>
        <w:numPr>
          <w:ilvl w:val="0"/>
          <w:numId w:val="1004"/>
        </w:numPr>
        <w:jc w:val="left"/>
        <w:keepNext w:val="0"/>
        <w:keepLines w:val="0"/>
        <w:widowControl w:val="1"/>
      </w:pPr>
      <w:bookmarkStart w:id="112" w:name="ref-bondi1964vdw"/>
      <w:r>
        <w:t xml:space="preserve">Bondi, A. (1964). van der Waals Volumes and Radii.</w:t>
      </w:r>
      <w:r>
        <w:t xml:space="preserve"> </w:t>
      </w:r>
      <w:r>
        <w:rPr>
          <w:i/>
          <w:iCs/>
        </w:rPr>
        <w:t xml:space="preserve">J. Phys. Chem. 68(3)</w:t>
      </w:r>
      <w:r>
        <w:t xml:space="preserve">:441–451. doi:10.1021/j100785a001.</w:t>
      </w:r>
      <w:bookmarkEnd w:id="112"/>
    </w:p>
    <w:p>
      <w:pPr>
        <w:pStyle w:val="ReferenceEntry"/>
        <w:numPr>
          <w:ilvl w:val="0"/>
          <w:numId w:val="1004"/>
        </w:numPr>
        <w:jc w:val="left"/>
        <w:keepNext w:val="0"/>
        <w:keepLines w:val="0"/>
        <w:widowControl w:val="1"/>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ReferenceEntry"/>
        <w:numPr>
          <w:ilvl w:val="0"/>
          <w:numId w:val="1004"/>
        </w:numPr>
        <w:jc w:val="left"/>
        <w:keepNext w:val="0"/>
        <w:keepLines w:val="0"/>
        <w:widowControl w:val="1"/>
      </w:pPr>
      <w:bookmarkStart w:id="11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4"/>
    </w:p>
    <w:p>
      <w:pPr>
        <w:pStyle w:val="ReferenceEntry"/>
        <w:numPr>
          <w:ilvl w:val="0"/>
          <w:numId w:val="1004"/>
        </w:numPr>
        <w:jc w:val="left"/>
        <w:keepNext w:val="0"/>
        <w:keepLines w:val="0"/>
        <w:widowControl w:val="1"/>
      </w:pPr>
      <w:bookmarkStart w:id="11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15"/>
    </w:p>
    <w:p>
      <w:pPr>
        <w:pStyle w:val="ReferenceEntry"/>
        <w:numPr>
          <w:ilvl w:val="0"/>
          <w:numId w:val="1004"/>
        </w:numPr>
        <w:jc w:val="left"/>
        <w:keepNext w:val="0"/>
        <w:keepLines w:val="0"/>
        <w:widowControl w:val="1"/>
      </w:pPr>
      <w:bookmarkStart w:id="11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16"/>
    </w:p>
    <w:p>
      <w:pPr>
        <w:pStyle w:val="ReferenceEntry"/>
        <w:numPr>
          <w:ilvl w:val="0"/>
          <w:numId w:val="1004"/>
        </w:numPr>
        <w:jc w:val="left"/>
        <w:keepNext w:val="0"/>
        <w:keepLines w:val="0"/>
        <w:widowControl w:val="1"/>
      </w:pPr>
      <w:bookmarkStart w:id="117" w:name="ref-npjcompmat2025"/>
      <w:r>
        <w:t xml:space="preserve">Z.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17"/>
    </w:p>
    <w:p>
      <w:pPr>
        <w:pStyle w:val="ReferenceEntry"/>
        <w:numPr>
          <w:ilvl w:val="0"/>
          <w:numId w:val="1004"/>
        </w:numPr>
        <w:jc w:val="left"/>
        <w:keepNext w:val="0"/>
        <w:keepLines w:val="0"/>
        <w:widowControl w:val="1"/>
      </w:pPr>
      <w:bookmarkStart w:id="11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18"/>
    </w:p>
    <w:p>
      <w:pPr>
        <w:pStyle w:val="ReferenceEntry"/>
        <w:numPr>
          <w:ilvl w:val="0"/>
          <w:numId w:val="1004"/>
        </w:numPr>
        <w:jc w:val="left"/>
        <w:keepNext w:val="0"/>
        <w:keepLines w:val="0"/>
        <w:widowControl w:val="1"/>
      </w:pPr>
      <w:bookmarkStart w:id="11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19"/>
    </w:p>
    <w:p>
      <w:pPr>
        <w:pStyle w:val="ReferenceEntry"/>
        <w:numPr>
          <w:ilvl w:val="0"/>
          <w:numId w:val="1004"/>
        </w:numPr>
        <w:jc w:val="left"/>
        <w:keepNext w:val="0"/>
        <w:keepLines w:val="0"/>
        <w:widowControl w:val="1"/>
      </w:pPr>
      <w:bookmarkStart w:id="12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2026-05-25T14:43:21Z</dcterms:created>
  <dcterms:modified xsi:type="dcterms:W3CDTF">2026-05-25T14:43:21Z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