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Uni-Mol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w:t>
            </w:r>
            <w:r>
              <w:rPr>
                <w:rFonts w:ascii="Times New Roman" w:hAnsi="Times New Roman"/>
                <w:sz w:val="19"/>
              </w:rPr>
              <w:t xml:space="preserve"> </w:t>
            </w:r>
            <w:hyperlink w:anchor="ref-cameo">
              <w:r>
                <w:rPr>
                  <w:rStyle w:val="Hyperlink"/>
                </w:rPr>
                <w:t xml:space="preserve">[00]</w:t>
              </w:r>
            </w:hyperlink>
            <w:r>
              <w:rPr>
                <w:rFonts w:ascii="Times New Roman" w:hAnsi="Times New Roman"/>
                <w:sz w:val="19"/>
              </w:rPr>
              <w:t xml:space="preserve"> </w:t>
            </w:r>
            <w:r>
              <w:rPr>
                <w:rFonts w:ascii="Times New Roman" w:hAnsi="Times New Roman"/>
                <w:sz w:val="19"/>
              </w:rPr>
              <w:t xml:space="preserve">+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an expected sanity-check rediscovery.</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B.1b, and B.1c (LIMO VAE; denoiser + score model; label sources + reranker, respectively).</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the Materials and Methods (§4).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the Materials and Methods (§4).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~2069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ZINC-15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2-model scaffold-split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 is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§4.6).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§4.8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§4.7).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Uni-Mol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Uni-Mol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(§5.3)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a 2-anchor fit (RDX/TATB only) is under-determined, which is why the 6-anchor panel is used.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11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1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11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1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 R2 (the N-nitroimine oxime-nitrate-imidazoline) is a reference-class compound flagged by the strengthened SMARTS gate, not a chem-pass lead:</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11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11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Uni-Mol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Uni-Mol</w:t>
      </w:r>
      <w:r>
        <w:rPr>
          <w:rFonts w:ascii="Times New Roman" w:hAnsi="Times New Roman"/>
          <w:b w:val="0"/>
          <w:i/>
          <w:sz w:val="20"/>
        </w:rPr>
        <w:t xml:space="preserve"> </w:t>
      </w:r>
      <m:oMath>
        <m:r>
          <m:t>D</m:t>
        </m:r>
      </m:oMath>
      <w:r>
        <w:rPr>
          <w:rFonts w:ascii="Times New Roman" w:hAnsi="Times New Roman"/>
          <w:b w:val="0"/>
          <w:i/>
          <w:sz w:val="20"/>
        </w:rPr>
        <w:t xml:space="preserve">. All 11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Uni-Mol surrogate prediction. The raw-DFT K-J values are listed in the third column for transparency. Residual is K-J_{\text{cal}} minus Uni-Mol D. All 11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Uni-Mol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Uni-Mol)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Uni-Mol surrogate (</w:t>
      </w:r>
      <m:oMath>
        <m:r>
          <m:rPr>
            <m:sty m:val="p"/>
          </m:rPr>
          <m:t>−</m:t>
        </m:r>
        <m:r>
          <m:t>1.22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1.69</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Uni-Mol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(Uni-Mol</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Uni-Mol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reflects the open-form Q approximation (Q ≈ ΔHf/MW without product-side subtraction); the per-lead Table C.2 values use the closed-form K-J, for which the residual stays negative across this regime.</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Uni-Mol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312b1e540ba401b2ae6391b9eda3d5a926d9c43"/>
    <w:p>
      <w:pPr>
        <w:pStyle w:val="Subtitle"/>
        <w:spacing w:before="0" w:after="40"/>
        <w:jc w:val="center"/>
        <w:keepNext/>
        <w:keepLines/>
        <w:widowControl w:val="1"/>
      </w:pPr>
      <w:r>
        <w:rPr>
          <w:rFonts w:ascii="Times New Roman" w:hAnsi="Times New Roman"/>
          <w:b/>
          <w:i w:val="0"/>
          <w:sz w:val="24"/>
        </w:rPr>
        <w:t xml:space="preserve">D. Reproducibility details and extended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supporting configuration detail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NTO)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across seeds.</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we quantify generalisation separately by 5-fold cross-validation across all 196 hazard-dataset rows, which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published PubChem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template-coverage discussion for L4, L5, and the eight extension leads, and the drug-domain template-bias argument. The headline is reported in §5.4 (1/11 USPTO-template hit rate; L1 reachable in 4 steps with state score 0.50; eight-lead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Template coverage for L4, L5, and the eight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result is stable to search budget: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NTO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Appendix D.9; the SC-gradient sweep and the heuristic-vs-literature sensitivity-head ablation (Appendix B.2) are in Appendix D.6.</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essentially unchanged (9.44–9.51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so E1 is reproduced by two independent sampling routes.</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 Appendix D.6.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nearly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Uni-Mol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2"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surechembl"/>
      <w:r>
        <w:rPr>
          <w:rFonts w:ascii="Times New Roman" w:hAnsi="Times New Roman"/>
          <w:b w:val="0"/>
          <w:i/>
          <w:sz w:val="20"/>
        </w:rPr>
        <w:t xml:space="preserve">Papadatos, G. et al. (2016). SureChEMBL: a large-scale, chemically annotated patent document database.</w:t>
      </w:r>
      <w:r>
        <w:rPr>
          <w:rFonts w:ascii="Times New Roman" w:hAnsi="Times New Roman"/>
          <w:b w:val="0"/>
          <w:i/>
          <w:sz w:val="20"/>
        </w:rPr>
        <w:t xml:space="preserve"> </w:t>
      </w:r>
      <w:r>
        <w:rPr>
          <w:rFonts w:ascii="Times New Roman" w:hAnsi="Times New Roman"/>
          <w:b w:val="0"/>
          <w:i/>
          <w:iCs/>
          <w:sz w:val="20"/>
        </w:rPr>
        <w:t xml:space="preserve">Nucleic Acids Res.</w:t>
      </w:r>
      <w:r>
        <w:rPr>
          <w:rFonts w:ascii="Times New Roman" w:hAnsi="Times New Roman"/>
          <w:b w:val="0"/>
          <w:i/>
          <w:sz w:val="20"/>
        </w:rPr>
        <w:t xml:space="preserve"> </w:t>
      </w:r>
      <w:r>
        <w:rPr>
          <w:rFonts w:ascii="Times New Roman" w:hAnsi="Times New Roman"/>
          <w:b w:val="0"/>
          <w:i/>
          <w:sz w:val="20"/>
        </w:rPr>
        <w:t xml:space="preserve">44(D1):D1220–D1228. doi:10.1093/nar/gkv1253.</w:t>
      </w:r>
      <w:bookmarkEnd w:id="114"/>
    </w:p>
    <w:p>
      <w:pPr>
        <w:pStyle w:val="Subtitle"/>
        <w:numPr>
          <w:ilvl w:val="0"/>
          <w:numId w:val="1004"/>
        </w:numPr>
        <w:spacing w:before="0" w:after="160"/>
        <w:ind w:left="360" w:hanging="259"/>
        <w:jc w:val="center"/>
        <w:keepNext w:val="0"/>
        <w:keepLines/>
        <w:widowControl w:val="1"/>
      </w:pPr>
      <w:bookmarkStart w:id="115"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5"/>
    </w:p>
    <w:p>
      <w:pPr>
        <w:pStyle w:val="Subtitle"/>
        <w:numPr>
          <w:ilvl w:val="0"/>
          <w:numId w:val="1004"/>
        </w:numPr>
        <w:spacing w:before="0" w:after="160"/>
        <w:ind w:left="360" w:hanging="259"/>
        <w:jc w:val="center"/>
        <w:keepNext w:val="0"/>
        <w:keepLines/>
        <w:widowControl w:val="1"/>
      </w:pPr>
      <w:bookmarkStart w:id="116"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6"/>
    </w:p>
    <w:p>
      <w:pPr>
        <w:pStyle w:val="Subtitle"/>
        <w:numPr>
          <w:ilvl w:val="0"/>
          <w:numId w:val="1004"/>
        </w:numPr>
        <w:spacing w:before="0" w:after="40"/>
        <w:ind w:left="360" w:hanging="259"/>
        <w:jc w:val="center"/>
        <w:keepNext/>
        <w:keepLines/>
        <w:widowControl w:val="1"/>
      </w:pPr>
      <w:bookmarkStart w:id="118"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7">
        <w:r>
          <w:rPr>
            <w:rStyle w:val="Hyperlink"/>
          </w:rPr>
          <w:t xml:space="preserve">cameochemicals.noaa.gov</w:t>
        </w:r>
      </w:hyperlink>
      <w:r>
        <w:rPr>
          <w:rFonts w:ascii="Times New Roman" w:hAnsi="Times New Roman"/>
          <w:b/>
          <w:i w:val="0"/>
          <w:sz w:val="24"/>
        </w:rPr>
        <w:t xml:space="preserve">.</w:t>
      </w:r>
      <w:bookmarkEnd w:id="118"/>
    </w:p>
    <w:p>
      <w:pPr>
        <w:pStyle w:val="Subtitle"/>
        <w:numPr>
          <w:ilvl w:val="0"/>
          <w:numId w:val="1004"/>
        </w:numPr>
        <w:spacing w:before="0" w:after="160"/>
        <w:ind w:left="360" w:hanging="259"/>
        <w:jc w:val="center"/>
        <w:keepNext w:val="0"/>
        <w:keepLines/>
        <w:widowControl w:val="1"/>
      </w:pPr>
      <w:bookmarkStart w:id="119"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9"/>
    </w:p>
    <w:p>
      <w:pPr>
        <w:pStyle w:val="Subtitle"/>
        <w:numPr>
          <w:ilvl w:val="0"/>
          <w:numId w:val="1004"/>
        </w:numPr>
        <w:spacing w:before="0" w:after="160"/>
        <w:ind w:left="360" w:hanging="259"/>
        <w:jc w:val="center"/>
        <w:keepNext w:val="0"/>
        <w:keepLines/>
        <w:widowControl w:val="1"/>
      </w:pPr>
      <w:bookmarkStart w:id="120"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20"/>
    </w:p>
    <w:p>
      <w:pPr>
        <w:pStyle w:val="Subtitle"/>
        <w:numPr>
          <w:ilvl w:val="0"/>
          <w:numId w:val="1004"/>
        </w:numPr>
        <w:spacing w:before="0" w:after="160"/>
        <w:ind w:left="360" w:hanging="259"/>
        <w:jc w:val="center"/>
        <w:keepNext w:val="0"/>
        <w:keepLines/>
        <w:widowControl w:val="1"/>
      </w:pPr>
      <w:bookmarkStart w:id="121"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1"/>
    </w:p>
    <w:bookmarkEnd w:id="122"/>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2026-08-01T04:12:51Z</dcterms:created>
  <dcterms:modified xsi:type="dcterms:W3CDTF">2026-08-01T04:12:51Z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