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11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The unguided sampler also independently recovered E1 (4-nitro-1,2,3,5-oxatriazole), a known oxatriazole (PubChem CID 57438703) that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[00]</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The unguided sampler additionally recovered the known oxatriazole E1 (above); the extension set spans eight Bemis–Murcko scaffolds across seven chemotype families, of which E1, E6, and E9 are known compounds.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11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eleven chem-pass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Eleven DGLD lead cards in a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rPr>
            <m:sty m:val="p"/>
          </m:rPr>
          <m:t>≥</m:t>
        </m:r>
        <m:r>
          <m:t>1.5</m:t>
        </m:r>
      </m:oMath>
      <m:oMath>
        <m:r>
          <m:rPr>
            <m:sty m:val="p"/>
          </m:rPr>
          <m:t>&lt;</m:t>
        </m:r>
        <m:r>
          <m:t>1.5</m:t>
        </m:r>
      </m:oMath>
      <w:r>
        <w:rPr>
          <w:b/>
          <w:i/>
        </w:rPr>
        <w:t>Figure 19.</w:t>
      </w:r>
      <w:r>
        <w:rPr>
          <w:b w:val="0"/>
          <w:i/>
        </w:rPr>
        <w:t xml:space="preserve"> </w:t>
      </w:r>
      <w:r>
        <w:rPr>
          <w:b w:val="0"/>
          <w:i/>
        </w:rPr>
        <w:t>Eleven chem-pass DGLD leads (L1, L3, L4, L5, L9, L11, L13, L16, L18, L19, L20). Each card shows the RDKit 2D depiction, chemotype label, molecular formula, and 6-anchor-calibrated DFT/Kamlet–Jacobs values (, , , HOF). The status bar reports the four validation gates: SMARTS pass, Pareto rank (“Pareto –” for L20, added from the pool=80k extension set and not assigned a top-100 rank), xTB HOMO–LUMO status, and DFT. Border and fill colour encode electronic stability: blue = xTB gap  eV (pass); orange = gap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bookmarkEnd w:id="105"/>
    <w:p>
      <w:pPr>
        <w:pStyle w:val="BodyText"/>
        <w:jc w:val="both"/>
        <w:keepNext w:val="0"/>
        <w:keepLines w:val="0"/>
        <w:widowControl w:val="1"/>
      </w:pPr>
      <w:r>
        <w:t xml:space="preserve">The top leads (Figure 19,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 surrogate-gaming false positive: high predicted score, physically implausible)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11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D</m:t>
        </m:r>
        <m:r>
          <m:rPr>
            <m:sty m:val="p"/>
          </m:rPr>
          <m:t>=</m:t>
        </m:r>
        <m:r>
          <m:t>9.0</m:t>
        </m:r>
      </m:oMath>
      <m:oMath>
        <m:r>
          <m:t>r</m:t>
        </m:r>
        <m:r>
          <m:rPr>
            <m:sty m:val="p"/>
          </m:rPr>
          <m:t>=</m:t>
        </m:r>
        <m:r>
          <m:t>0.20</m:t>
        </m:r>
      </m:oMath>
      <m:oMath>
        <m:r>
          <m:t>r</m:t>
        </m:r>
        <m:r>
          <m:rPr>
            <m:sty m:val="p"/>
          </m:rPr>
          <m:t>=</m:t>
        </m:r>
        <m:r>
          <m:t>0.43</m:t>
        </m:r>
      </m:oMath>
      <w:r>
        <w:rPr>
          <w:b/>
          <w:i/>
        </w:rPr>
        <w:t>Figure 21.</w:t>
      </w:r>
      <w:r>
        <w:rPr>
          <w:b w:val="0"/>
          <w:i/>
        </w:rPr>
        <w:t xml:space="preserve"> </w:t>
      </w:r>
      <w:r>
        <w:rPr>
          <w:b w:val="0"/>
          <w:i/>
        </w:rPr>
        <w:t>Left: dumbbell plot connecting Uni-Mol-predicted  (blue) to anchor-calibrated DFT–K-J  (orange) for each DFT-converged lead; dotted green line is the literature-scale HMX target of  km/s (the 6-anchor-calibrated HMX anchor is 7.52 km/s, Section 2.3, so L1's calibrated 8.25 sits below it). Right: per-lead residual vs N-fraction with linear fit (Pearson  across the leads and reference compounds shown); the panel title reports the global 575-row Tier-A correlation (,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4);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 Applied to the DFT-audited set, this strengthened gate flags one N-nitroimine (oxime-nitrate-imidazoline) that the production SMARTS gate passes; it is tabulated as reference R2 (Table C.1c), not a chem-pass lead, so the confirmed set is 11 leads (10 unique).</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5).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Appendix D.14. The 1/11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is the top-ranked novel lead, and the sampler's independent recovery of the known oxatriazole E1 shows its reach spans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 L3–L5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gaming molecule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km/s comes from a scaffold family disjoint from L1; its recovery validates the sampler's scaffold reach rather than adding a novel lead, and its calibrated D is an upper bound pending thermal stability confirmation and a 1,2,3,5-oxatriazole-class DFT anchor (§6).</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6"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sterling2015zinc"/>
      <w:r>
        <w:t xml:space="preserve">Sterling, T., &amp; Irwin, J. J. (2015). ZINC 15: Ligand Discovery for Everyone.</w:t>
      </w:r>
      <w:r>
        <w:t xml:space="preserve"> </w:t>
      </w:r>
      <w:r>
        <w:rPr>
          <w:i/>
          <w:iCs/>
        </w:rPr>
        <w:t xml:space="preserve">J. Chem. Inf. Model. 55(11)</w:t>
      </w:r>
      <w:r>
        <w:t xml:space="preserve">:2324–2337.</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cameo"/>
      <w:r>
        <w:t xml:space="preserve">NIST CAMEO Chemicals: Database of Hazardous Materials and Reactivity.</w:t>
      </w:r>
      <w:r>
        <w:t xml:space="preserve"> </w:t>
      </w:r>
      <w:hyperlink r:id="rId211">
        <w:r>
          <w:rPr>
            <w:rStyle w:val="Hyperlink"/>
          </w:rPr>
          <w:t xml:space="preserve">cameochemicals.noaa.gov</w:t>
        </w:r>
      </w:hyperlink>
      <w:r>
        <w:t xml:space="preserv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bondi1964vdw"/>
      <w:r>
        <w:t xml:space="preserve">Bondi, A. (1964). van der Waals Volumes and Radii.</w:t>
      </w:r>
      <w:r>
        <w:t xml:space="preserve"> </w:t>
      </w:r>
      <w:r>
        <w:rPr>
          <w:i/>
          <w:iCs/>
        </w:rPr>
        <w:t xml:space="preserve">J. Phys. Chem. 68(3)</w:t>
      </w:r>
      <w:r>
        <w:t xml:space="preserve">:441–451. doi:10.1021/j100785a001.</w:t>
      </w:r>
      <w:bookmarkEnd w:id="214"/>
    </w:p>
    <w:p>
      <w:pPr>
        <w:pStyle w:val="ReferenceEntry"/>
        <w:spacing w:after="100"/>
        <w:ind w:left="475" w:hanging="475"/>
        <w:jc w:val="left"/>
        <w:keepNext w:val="0"/>
        <w:keepLines w:val="0"/>
        <w:widowControl w:val="1"/>
      </w:pPr>
      <w:r>
        <w:rPr>
          <w:rFonts w:ascii="Times New Roman" w:hAnsi="Times New Roman"/>
          <w:sz w:val="20"/>
        </w:rPr>
        <w:t xml:space="preserve">72. </w:t>
      </w:r>
      <w:bookmarkStart w:id="215"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5"/>
    </w:p>
    <w:bookmarkEnd w:id="21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2026-08-01T04:38:03Z</dcterms:created>
  <dcterms:modified xsi:type="dcterms:W3CDTF">2026-08-01T04:38:03Z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