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p>
    <w:p>
      <w:pPr>
        <w:pStyle w:val="BodyText"/>
        <w:jc w:val="both"/>
        <w:keepNext w:val="0"/>
        <w:keepLines w:val="0"/>
        <w:widowControl w:val="1"/>
      </w:pP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rPr>
          <w:vertAlign w:val="superscript"/>
        </w:rPr>
        <w:t xml:space="preserve">*</w:t>
      </w:r>
      <w:r>
        <w:t xml:space="preserve">These authors contributed equally to this work.</w:t>
      </w:r>
    </w:p>
    <w:p>
      <w:pPr>
        <w:pStyle w:val="BodyText"/>
        <w:jc w:val="both"/>
        <w:keepNext w:val="0"/>
        <w:keepLines w:val="0"/>
        <w:widowControl w:val="1"/>
      </w:pPr>
      <w:r>
        <w:rPr>
          <w:vertAlign w:val="superscript"/>
        </w:rPr>
        <w:t xml:space="preserve">†</w:t>
      </w:r>
      <w:r>
        <w:t xml:space="preserve">Corresponding author. Email: apersteiny@afeka.ac.il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High-performance explosives are dangerous to test and rare to discover. Of roughly 66,000 organic CHNO molecules with reported detonation properties, only about 3,000 carry trustworthy experimental or quantum-chemistry values; generative models trained on the whole mixture either copy the training set or propose candidates whose predicted performance fails on recheck. We present</w:t>
      </w:r>
      <w:r>
        <w:t xml:space="preserve"> </w:t>
      </w:r>
      <w:r>
        <w:rPr>
          <w:b/>
          <w:bCs/>
        </w:rPr>
        <w:t xml:space="preserve">domain-gated latent diffusion (DGLD)</w:t>
      </w:r>
      <w:r>
        <w:t xml:space="preserve">: a latent diffusion model in which only trusted high-quality labels enter the conditional gradient, while noisy labels train the unconditional prior. Sampling is steered by a multi-task scoring network whose safety and viability heads can be switched independently. Every candidate passes a chemistry filter, semi-empirical screening, and a density-functional-theory (DFT) audit. DGLD yields twelve novel DFT-confirmed leads. The strongest, 3,4,5-trinitro-1,2-isoxazole, reaches calibrated detonation velocity 8.25 km/s, in the HMX-class performance band (HMX ≈ 9.1 km/s), and is structurally distinct from every training molecule. Four no-diffusion baselines fail novelty, performance, or both.</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structural similarity 0.27 (Tanimoto) to all 65,980 training molecules. Against four no-diffusion baselines run on the same corpus, DGLD is the only method that generates molecules simultaneously novel and on-target under first-principles audit.</w:t>
      </w:r>
    </w:p>
    <w:p>
      <w:pPr>
        <w:pStyle w:val="BodyText"/>
        <w:jc w:val="both"/>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Targeted generative models exist for inorganic crystals</w:t>
      </w:r>
      <w:hyperlink w:anchor="ref-zeni2025mattergen">
        <w:r>
          <w:rPr>
            <w:rStyle w:val="Hyperlink"/>
          </w:rPr>
          <w:t xml:space="preserve">48</w:t>
        </w:r>
      </w:hyperlink>
      <w:r>
        <w:t xml:space="preserve"> </w:t>
      </w:r>
      <w:r>
        <w:t xml:space="preserve">and for pharmaceutical scaffolds via shape-conditioned 3D diffusion</w:t>
      </w:r>
      <w:hyperlink w:anchor="ref-chen2025diffsmol">
        <w:r>
          <w:rPr>
            <w:rStyle w:val="Hyperlink"/>
          </w:rPr>
          <w:t xml:space="preserve">50</w:t>
        </w:r>
      </w:hyperlink>
      <w:r>
        <w:t xml:space="preserve">, but neither addresses the tier-stratified label-quality problem distinctive to energetic materials. Generative language models trained on energetic corpora memorise training molecules; the closest recent in-domain attempt</w:t>
      </w:r>
      <w:hyperlink w:anchor="ref-liu2025denovohedm">
        <w:r>
          <w:rPr>
            <w:rStyle w:val="Hyperlink"/>
          </w:rPr>
          <w:t xml:space="preserve">49</w:t>
        </w:r>
      </w:hyperlink>
      <w:r>
        <w:t xml:space="preserve"> </w:t>
      </w:r>
      <w:r>
        <w:t xml:space="preserve">uses recurrent-network plus transfer-learning enumeration to surface Pareto-front CL-20-class candidates by heat of explosion, but lacks property-targeted sample-time steering and a tier-gating mechanism for label heterogeneity.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BodyText"/>
        <w:jc w:val="both"/>
        <w:keepNext w:val="0"/>
        <w:keepLines w:val="0"/>
        <w:widowControl w:val="1"/>
      </w:pPr>
      <w:r>
        <w:t xml:space="preserve">DGLD addresses these failures with three coordinated mechanisms operating at training time, sample time, and validation.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BodyText"/>
        <w:jc w:val="both"/>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res-pq"/>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region where a generated molecule is simultaneously novel against the labelled training corpus (max-Tanimoto</w:t>
      </w:r>
      <w:r>
        <w:t xml:space="preserve"> </w:t>
      </w:r>
      <m:oMath>
        <m:r>
          <m:rPr>
            <m:sty m:val="p"/>
          </m:rPr>
          <m:t>≤</m:t>
        </m:r>
      </m:oMath>
      <w:r>
        <w:t xml:space="preserve"> </w:t>
      </w:r>
      <w:r>
        <w:t xml:space="preserve">0.55) and competitive with the HMX/CL-20 reference class on predicted detonation performance. Figure 1 places the top-1 candidate from each method against novelty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using the 3D-CNN surrogate scale, so that all five methods are compared on a common axis; the productive-quadrant threshold is set at</w:t>
      </w:r>
      <w:r>
        <w:t xml:space="preserve"> </w:t>
      </w:r>
      <m:oMath>
        <m:sSub>
          <m:e>
            <m:r>
              <m:t>D</m:t>
            </m:r>
          </m:e>
          <m:sub>
            <m:r>
              <m:rPr>
                <m:nor/>
                <m:sty m:val="p"/>
              </m:rPr>
              <m:t>surrogate</m:t>
            </m:r>
          </m:sub>
        </m:sSub>
        <m:r>
          <m:rPr>
            <m:sty m:val="p"/>
          </m:rPr>
          <m:t>≥</m:t>
        </m:r>
        <m:r>
          <m:t>9.0</m:t>
        </m:r>
      </m:oMath>
      <w:r>
        <w:t xml:space="preserve"> </w:t>
      </w:r>
      <w:r>
        <w:t xml:space="preserve">km/s, with HMX at</w:t>
      </w:r>
      <w:r>
        <w:t xml:space="preserve"> </w:t>
      </w:r>
      <m:oMath>
        <m:r>
          <m:rPr>
            <m:sty m:val="p"/>
          </m:rPr>
          <m:t>≈</m:t>
        </m:r>
      </m:oMath>
      <w:r>
        <w:t xml:space="preserve"> </w:t>
      </w:r>
      <w:r>
        <w:t xml:space="preserve">9.1 km/s. Calibrated DFT/Kamlet–Jacobs values for the DGLD leads are reported in the next subsection, where the same compounds calibrate to lower absolute values (HMX calibrated</w:t>
      </w:r>
      <w:r>
        <w:t xml:space="preserve"> </w:t>
      </w:r>
      <m:oMath>
        <m:r>
          <m:t>D</m:t>
        </m:r>
        <m:r>
          <m:rPr>
            <m:sty m:val="p"/>
          </m:rPr>
          <m:t>≈</m:t>
        </m:r>
        <m:r>
          <m:t>8</m:t>
        </m:r>
      </m:oMath>
      <w:r>
        <w:t xml:space="preserve"> </w:t>
      </w:r>
      <w:r>
        <w:t xml:space="preserve">km/s).</w:t>
      </w:r>
    </w:p>
    <w:p>
      <w:pPr>
        <w:pStyle w:val="BodyText"/>
        <w:jc w:val="both"/>
        <w:keepNext w:val="0"/>
        <w:keepLines w:val="0"/>
        <w:widowControl w:val="1"/>
      </w:pPr>
      <w:r>
        <w:t xml:space="preserve">DGLD's production setting (Hz-C2: hazard-axis configuration with three active steering heads, viability + sensitivity + hazard, averaged over three random seeds) lands in the productive quadrant on every axis. The four no-diffusion baselines each fail at least one criterion. SMILES-LSTM</w:t>
      </w:r>
      <w:hyperlink w:anchor="ref-segler2018smileslstm">
        <w:r>
          <w:rPr>
            <w:rStyle w:val="Hyperlink"/>
          </w:rPr>
          <w:t xml:space="preserve">21</w:t>
        </w:r>
      </w:hyperlink>
      <w:r>
        <w:t xml:space="preserve"> </w:t>
      </w:r>
      <w:r>
        <w:t xml:space="preserve">sits on the Tanimoto-1.0 axis (exact rediscovery). MolMIM 70 M</w:t>
      </w:r>
      <w:hyperlink w:anchor="ref-molmim2023">
        <w:r>
          <w:rPr>
            <w:rStyle w:val="Hyperlink"/>
          </w:rPr>
          <w:t xml:space="preserve">22</w:t>
        </w:r>
      </w:hyperlink>
      <w:r>
        <w:t xml:space="preserve"> </w:t>
      </w:r>
      <w:r>
        <w:t xml:space="preserve">is novel but at</w:t>
      </w:r>
      <w:r>
        <w:t xml:space="preserve"> </w:t>
      </w:r>
      <m:oMath>
        <m:r>
          <m:t>D</m:t>
        </m:r>
        <m:r>
          <m:rPr>
            <m:sty m:val="p"/>
          </m:rPr>
          <m:t>=</m:t>
        </m:r>
        <m:r>
          <m:t>7.70</m:t>
        </m:r>
      </m:oMath>
      <w:r>
        <w:t xml:space="preserve"> </w:t>
      </w:r>
      <w:r>
        <w:t xml:space="preserve">km/s, outside the HMX band. REINVENT 4</w:t>
      </w:r>
      <w:hyperlink w:anchor="ref-loeffler2024reinvent">
        <w:r>
          <w:rPr>
            <w:rStyle w:val="Hyperlink"/>
          </w:rPr>
          <w:t xml:space="preserve">23</w:t>
        </w:r>
      </w:hyperlink>
      <w:r>
        <w:t xml:space="preserve"> </w:t>
      </w:r>
      <w:r>
        <w:t xml:space="preserve">reaches</w:t>
      </w:r>
      <w:r>
        <w:t xml:space="preserve"> </w:t>
      </w:r>
      <m:oMath>
        <m:r>
          <m:t>D</m:t>
        </m:r>
        <m:r>
          <m:rPr>
            <m:sty m:val="p"/>
          </m:rPr>
          <m:t>=</m:t>
        </m:r>
        <m:r>
          <m:t>9.02</m:t>
        </m:r>
      </m:oMath>
      <w:r>
        <w:t xml:space="preserve"> </w:t>
      </w:r>
      <w:r>
        <w:t xml:space="preserve">km/s at novelty 0.43, just below the threshold. SELFIES-GA</w:t>
      </w:r>
      <w:hyperlink w:anchor="ref-nigam2020selfies-ga">
        <w:r>
          <w:rPr>
            <w:rStyle w:val="Hyperlink"/>
          </w:rPr>
          <w:t xml:space="preserve">24</w:t>
        </w:r>
      </w:hyperlink>
      <w:r>
        <w:t xml:space="preserve"> </w:t>
      </w:r>
      <w:r>
        <w:t xml:space="preserve">shows a surrogate-to-DFT collapse (Fig. 1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844232"/>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8442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res-leads"/>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"Validation funnel") to a pool of 40,000 candidates per denoiser yields a Pareto front of 34 candidates after the SMARTS gate and Pareto reranker (top-</w:t>
      </w:r>
      <m:oMath>
        <m:r>
          <m:t>k</m:t>
        </m:r>
      </m:oMath>
      <w:r>
        <w:t xml:space="preserve"> </w:t>
      </w:r>
      <w:r>
        <w:t xml:space="preserve">by composite score, with Pareto-optimal candidates ranked first; see Methods, "Validation funnel" for the explicit composite formula). Of these, 100 (top-100 by composite) advance to GFN2-xTB triage at the 1.5 eV HOMO–LUMO gap gate;</w:t>
      </w:r>
      <w:r>
        <w:t xml:space="preserve"> </w:t>
      </w:r>
      <w:r>
        <w:rPr>
          <w:b/>
          <w:bCs/>
        </w:rPr>
        <w:t xml:space="preserve">85 of 100 survive</w:t>
      </w:r>
      <w:r>
        <w:t xml:space="preserve">. From the 85 xTB-passing candidates, twelve are selected for full DFT audit by combining the highest composite scores with chemist review for chemotype diversity (the “chem-pass” set; selection criteria detailed in Methods, “Validation funnel”).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(Table 1; the (</w:t>
      </w:r>
      <m:oMath>
        <m:r>
          <m:t>D</m:t>
        </m:r>
      </m:oMath>
      <w:r>
        <w:t xml:space="preserve">,</w:t>
      </w:r>
      <w:r>
        <w:t xml:space="preserve"> </w:t>
      </w:r>
      <m:oMath>
        <m:r>
          <m:t>P</m:t>
        </m:r>
      </m:oMath>
      <w:r>
        <w:t xml:space="preserve">) distribution of the merged top-200 candidates appears in Fig. 2) — the highest density of the set, in the HMX-class regime by anchor-relative ranking, and absent from PubChem. The polynitroisoxazole family is established in the energetic-materials literature</w:t>
      </w:r>
      <w:hyperlink w:anchor="ref-sabatini2018">
        <w:r>
          <w:rPr>
            <w:rStyle w:val="Hyperlink"/>
          </w:rPr>
          <w:t xml:space="preserve">32</w:t>
        </w:r>
      </w:hyperlink>
      <w:hyperlink w:anchor="ref-tang2017">
        <w:r>
          <w:rPr>
            <w:rStyle w:val="Hyperlink"/>
          </w:rPr>
          <w:t xml:space="preserve">33</w:t>
        </w:r>
      </w:hyperlink>
      <w:r>
        <w:t xml:space="preserve">; the closest fully-substituted ring previously characterised is the isomeric 3,4,5-trinitro-1</w:t>
      </w:r>
      <w:r>
        <w:rPr>
          <w:i/>
          <w:iCs/>
        </w:rPr>
        <w:t xml:space="preserve">H</w:t>
      </w:r>
      <w:r>
        <w:t xml:space="preserve">-pyrazole</w:t>
      </w:r>
      <w:hyperlink w:anchor="ref-herve2010">
        <w:r>
          <w:rPr>
            <w:rStyle w:val="Hyperlink"/>
          </w:rPr>
          <w:t xml:space="preserve">34</w:t>
        </w:r>
      </w:hyperlink>
      <w:r>
        <w:t xml:space="preserve">, so L1 is a chemotype-class rediscovery with a positionally novel substitution pattern.</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candidates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plotted as the union of (i) the top-100 by composite score (used downstream for GFN2-xTB triage; see Results, “Twelve DFT-confirmed leads”) and (ii) the next 100 Pareto-front members for context.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 to the labelled master on Morgan FP radius 2,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r>
              <w:rPr>
                <w:rFonts w:ascii="Times New Roman" w:hAnsi="Times New Roman"/>
                <w:sz w:val="20"/>
              </w:rPr>
              <w:t xml:space="preserve"> </w:t>
            </w:r>
            <w:r>
              <w:rPr>
                <w:rFonts w:ascii="Times New Roman" w:hAnsi="Times New Roman"/>
                <w:sz w:val="20"/>
              </w:rPr>
              <w:t xml:space="preserve">(3,4,5-trinitro-1,2-isoxazole)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small-ring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 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 (extension)</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(slightly below L1) but</w:t>
      </w:r>
      <w:r>
        <w:t xml:space="preserve"> </w:t>
      </w:r>
      <m:oMath>
        <m:sSub>
          <m:e>
            <m:r>
              <m:t>D</m:t>
            </m:r>
          </m:e>
          <m:sub>
            <m:r>
              <m:rPr>
                <m:nor/>
                <m:sty m:val="p"/>
              </m:rPr>
              <m:t>K-J,cal</m:t>
            </m:r>
          </m:sub>
        </m:sSub>
        <m:r>
          <m:rPr>
            <m:sty m:val="p"/>
          </m:rPr>
          <m:t>=</m:t>
        </m:r>
        <m:r>
          <m:t>9.00</m:t>
        </m:r>
      </m:oMath>
      <w:r>
        <w:t xml:space="preserve"> </w:t>
      </w:r>
      <w:r>
        <w:t xml:space="preserve">km/s (0.75 km/s above L1), from a chemotype family disjoint from L1's. The 1,2,3,5-oxatriazole ring system has known thermal and Lewis-acid ring-opening pathways</w:t>
      </w:r>
      <w:hyperlink w:anchor="ref-sheremetev2007">
        <w:r>
          <w:rPr>
            <w:rStyle w:val="Hyperlink"/>
          </w:rPr>
          <w:t xml:space="preserve">6</w:t>
        </w:r>
      </w:hyperlink>
      <w:hyperlink w:anchor="ref-katritzky2010">
        <w:r>
          <w:rPr>
            <w:rStyle w:val="Hyperlink"/>
          </w:rPr>
          <w:t xml:space="preserve">40</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res-dft"/>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a regime similar to the anchor PETN (one of the six calibration compounds;</w:t>
      </w:r>
      <w:r>
        <w:t xml:space="preserv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589160"/>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5891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(experimental</w:t>
      </w:r>
      <w:r>
        <w:t xml:space="preserve"> </w:t>
      </w:r>
      <m:oMath>
        <m:r>
          <m:t>D</m:t>
        </m:r>
      </m:oMath>
      <w:r>
        <w:t xml:space="preserve"> </w:t>
      </w:r>
      <w:r>
        <w:t xml:space="preserve">minus closed-form Kamlet–Jacobs</w:t>
      </w:r>
      <w:r>
        <w:t xml:space="preserve"> </w:t>
      </w:r>
      <m:oMath>
        <m:r>
          <m:t>D</m:t>
        </m:r>
      </m:oMath>
      <w:r>
        <w:t xml:space="preserve"> </w:t>
      </w:r>
      <w:r>
        <w:t xml:space="preserve">recomputed from the row's measured density and heat of formation)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(where the assumed gas-product distribution deviates from the actual high-N CHNO product mix) consistent with prior literature; L1 sits in the PETN-reliable band.</w:t>
      </w:r>
    </w:p>
    <w:bookmarkEnd w:id="22"/>
    <w:bookmarkStart w:id="26" w:name="res-novel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(three transient PUG REST API errors excluded from the denominator; 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(Fig. 4).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w:t>
      </w:r>
      <w:hyperlink w:anchor="ref-polykovskiy2020moses">
        <w:r>
          <w:rPr>
            <w:rStyle w:val="Hyperlink"/>
          </w:rPr>
          <w:t xml:space="preserve">27</w:t>
        </w:r>
      </w:hyperlink>
      <w:r>
        <w:t xml:space="preserve"> </w:t>
      </w:r>
      <w:r>
        <w:t xml:space="preserve">confirm the design intent: SMILES-LSTM has Fréchet ChemNet Distance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res-abla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(Fig. 5).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095370"/>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09537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for four metrics across six guided conditions: (</w:t>
      </w:r>
      <w:r>
        <w:rPr>
          <w:b/>
          <w:bCs/>
        </w:rPr>
        <w:t xml:space="preserve">a</w:t>
      </w:r>
      <w:r>
        <w:t xml:space="preserve">) top-1 composite penalty (lower = better); (</w:t>
      </w:r>
      <w:r>
        <w:rPr>
          <w:b/>
          <w:bCs/>
        </w:rPr>
        <w:t xml:space="preserve">b</w:t>
      </w:r>
      <w:r>
        <w:t xml:space="preserve">) top-1 detonation velocity</w:t>
      </w:r>
      <w:r>
        <w:t xml:space="preserve"> </w:t>
      </w:r>
      <m:oMath>
        <m:r>
          <m:t>D</m:t>
        </m:r>
      </m:oMath>
      <w:r>
        <w:t xml:space="preserve">; (</w:t>
      </w:r>
      <w:r>
        <w:rPr>
          <w:b/>
          <w:bCs/>
        </w:rPr>
        <w:t xml:space="preserve">c</w:t>
      </w:r>
      <w:r>
        <w:t xml:space="preserve">) max-Tanimoto to labelled master (lower = more novel); (</w:t>
      </w:r>
      <w:r>
        <w:rPr>
          <w:b/>
          <w:bCs/>
        </w:rPr>
        <w:t xml:space="preserve">d</w:t>
      </w:r>
      <w:r>
        <w:t xml:space="preserve">) top-1 detonation pressure</w:t>
      </w:r>
      <w:r>
        <w:t xml:space="preserve"> </w:t>
      </w:r>
      <m:oMath>
        <m:r>
          <m:t>P</m:t>
        </m:r>
      </m:oMath>
      <w:r>
        <w:t xml:space="preserve">. Error bars are propagated standard errors over three seeds. Markers are coloured and shaped by axis: blue diamonds for hazard-axis (Hz-) conditions, orange squares for SA-axis (SA-) conditions. Hz-C2 (viability + sensitivity + hazard; bold row label, marked “prod.”)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the average systematic packing-factor offset across the anchors, leaving a leave-one-out residual of</w:t>
      </w:r>
      <w:r>
        <w:t xml:space="preserve"> </w:t>
      </w:r>
      <m:oMath>
        <m:r>
          <m:rPr>
            <m:sty m:val="p"/>
          </m:rPr>
          <m:t>±</m:t>
        </m:r>
        <m:r>
          <m:t>0.078</m:t>
        </m:r>
      </m:oMath>
      <w:r>
        <w:t xml:space="preserve"> </w:t>
      </w:r>
      <w:r>
        <w:t xml:space="preserve">g/cm</w:t>
      </w:r>
      <w:r>
        <w:rPr>
          <w:vertAlign w:val="superscript"/>
        </w:rPr>
        <w:t xml:space="preserve">3</w:t>
      </w:r>
      <w:r>
        <w:t xml:space="preserve">; per-compound deviations from the average packing factor remain unquantified, and polymorph screening is absent — high-nitrogen heterocycles frequently exhibit multiple crystal forms with different densities and sensitivity profiles. Crystal structure prediction</w:t>
      </w:r>
      <w:hyperlink w:anchor="ref-csp2023">
        <w:r>
          <w:rPr>
            <w:rStyle w:val="Hyperlink"/>
          </w:rPr>
          <w:t xml:space="preserve">39</w:t>
        </w:r>
      </w:hyperlink>
      <w:r>
        <w:t xml:space="preserve"> </w:t>
      </w:r>
      <w:r>
        <w:t xml:space="preserve">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Two recent precedents bracket DGLD's contribution. MatterGen</w:t>
      </w:r>
      <w:hyperlink w:anchor="ref-zeni2025mattergen">
        <w:r>
          <w:rPr>
            <w:rStyle w:val="Hyperlink"/>
          </w:rPr>
          <w:t xml:space="preserve">48</w:t>
        </w:r>
      </w:hyperlink>
      <w:r>
        <w:t xml:space="preserve"> </w:t>
      </w:r>
      <w:r>
        <w:t xml:space="preserve">demonstrates that property-conditioned diffusion plus first-principles validation produces novel inorganic crystals when labels are uniformly DFT-quality; DGLD extends this recipe to label-stratified domains via the tier-gating mechanism. In energetic materials specifically, the closest recent generative work</w:t>
      </w:r>
      <w:hyperlink w:anchor="ref-liu2025denovohedm">
        <w:r>
          <w:rPr>
            <w:rStyle w:val="Hyperlink"/>
          </w:rPr>
          <w:t xml:space="preserve">49</w:t>
        </w:r>
      </w:hyperlink>
      <w:r>
        <w:t xml:space="preserve"> </w:t>
      </w:r>
      <w:r>
        <w:t xml:space="preserve">uses RNN enumeration with Pareto post-filtering and reports heat-of-explosion gains, but lacks property-targeted sample-time steering and a full DFT-calibrated validation funnel. A drop-in replacement of the GFN2-xTB triage stage with the recent CHNO-specialised neural-network potential EMFF-2025</w:t>
      </w:r>
      <w:hyperlink w:anchor="ref-wen2025emff">
        <w:r>
          <w:rPr>
            <w:rStyle w:val="Hyperlink"/>
          </w:rPr>
          <w:t xml:space="preserve">51</w:t>
        </w:r>
      </w:hyperlink>
      <w:r>
        <w:t xml:space="preserve"> </w:t>
      </w:r>
      <w:r>
        <w:t xml:space="preserve">would reduce per-candidate compute by roughly an order of magnitude while preserving the geometry and HOMO–LUMO sanity check.</w:t>
      </w:r>
    </w:p>
    <w:p>
      <w:pPr>
        <w:pStyle w:val="BodyText"/>
        <w:jc w:val="both"/>
        <w:keepNext w:val="0"/>
        <w:keepLines w:val="0"/>
        <w:widowControl w:val="1"/>
      </w:pPr>
      <w:r>
        <w:t xml:space="preserve">The tier-gating recipe is in principle domain-agnostic. Many generative-ML problems share the same structural feature: labels stratified by experimental confidence (pharmaceutical bioactivity assay versus literature versus QSAR surrogate; materials property prediction measured versus computed versus inferred). The same four-tier mechanism — trusted labels driving the conditional gradient, noisy labels training only the unconditional prior — should apply directly, with only the validation funnel changing per application. Whether the recipe transfers cleanly outside energetic materials remains to be demonstrated empirically. Code, checkpoints and the 918 mined hard negatives are released openly under permissive licences (Methods, "Code availability") to enable both reproduction within energetic materials and re-use of the tier-gating mechanism in other label-stratified domains.</w:t>
      </w:r>
    </w:p>
    <w:bookmarkEnd w:id="32"/>
    <w:bookmarkStart w:id="87" w:name="sec-refs"/>
    <w:p>
      <w:pPr>
        <w:pStyle w:val="ReferencesHeading"/>
        <w:jc w:val="left"/>
        <w:keepNext/>
        <w:keepLines/>
        <w:widowControl w:val="1"/>
      </w:pPr>
      <w:r>
        <w:t xml:space="preserve">References</w:t>
      </w:r>
    </w:p>
    <w:p>
      <w:pPr>
        <w:pStyle w:val="ReferenceEntry"/>
        <w:jc w:val="left"/>
        <w:keepNext w:val="0"/>
        <w:keepLines w:val="0"/>
        <w:widowControl w:val="1"/>
      </w:pPr>
      <w:r>
        <w:t xml:space="preserve">References cited in the main text and in Methods are merged into a single numbered list below.</w:t>
      </w:r>
    </w:p>
    <w:p>
      <w:pPr>
        <w:pStyle w:val="ReferenceEntry"/>
        <w:numPr>
          <w:ilvl w:val="0"/>
          <w:numId w:val="1001"/>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1"/>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1"/>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1"/>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1"/>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1"/>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1"/>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1"/>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1"/>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1"/>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1"/>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1"/>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1"/>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1"/>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1"/>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1"/>
        </w:numPr>
        <w:jc w:val="left"/>
        <w:keepNext w:val="0"/>
        <w:keepLines w:val="0"/>
        <w:widowControl w:val="1"/>
      </w:pPr>
      <w:bookmarkStart w:id="48"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8"/>
    </w:p>
    <w:p>
      <w:pPr>
        <w:pStyle w:val="ReferenceEntry"/>
        <w:numPr>
          <w:ilvl w:val="0"/>
          <w:numId w:val="1001"/>
        </w:numPr>
        <w:jc w:val="left"/>
        <w:keepNext w:val="0"/>
        <w:keepLines w:val="0"/>
        <w:widowControl w:val="1"/>
      </w:pPr>
      <w:bookmarkStart w:id="49"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49"/>
    </w:p>
    <w:p>
      <w:pPr>
        <w:pStyle w:val="ReferenceEntry"/>
        <w:numPr>
          <w:ilvl w:val="0"/>
          <w:numId w:val="1001"/>
        </w:numPr>
        <w:jc w:val="left"/>
        <w:keepNext w:val="0"/>
        <w:keepLines w:val="0"/>
        <w:widowControl w:val="1"/>
      </w:pPr>
      <w:bookmarkStart w:id="50"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0"/>
    </w:p>
    <w:p>
      <w:pPr>
        <w:pStyle w:val="ReferenceEntry"/>
        <w:numPr>
          <w:ilvl w:val="0"/>
          <w:numId w:val="1001"/>
        </w:numPr>
        <w:jc w:val="left"/>
        <w:keepNext w:val="0"/>
        <w:keepLines w:val="0"/>
        <w:widowControl w:val="1"/>
      </w:pPr>
      <w:bookmarkStart w:id="51"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1"/>
    </w:p>
    <w:p>
      <w:pPr>
        <w:pStyle w:val="ReferenceEntry"/>
        <w:numPr>
          <w:ilvl w:val="0"/>
          <w:numId w:val="1001"/>
        </w:numPr>
        <w:jc w:val="left"/>
        <w:keepNext w:val="0"/>
        <w:keepLines w:val="0"/>
        <w:widowControl w:val="1"/>
      </w:pPr>
      <w:bookmarkStart w:id="52"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2"/>
    </w:p>
    <w:p>
      <w:pPr>
        <w:pStyle w:val="ReferenceEntry"/>
        <w:numPr>
          <w:ilvl w:val="0"/>
          <w:numId w:val="1001"/>
        </w:numPr>
        <w:jc w:val="left"/>
        <w:keepNext w:val="0"/>
        <w:keepLines w:val="0"/>
        <w:widowControl w:val="1"/>
      </w:pPr>
      <w:bookmarkStart w:id="53"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3"/>
    </w:p>
    <w:p>
      <w:pPr>
        <w:pStyle w:val="ReferenceEntry"/>
        <w:numPr>
          <w:ilvl w:val="0"/>
          <w:numId w:val="1001"/>
        </w:numPr>
        <w:jc w:val="left"/>
        <w:keepNext w:val="0"/>
        <w:keepLines w:val="0"/>
        <w:widowControl w:val="1"/>
      </w:pPr>
      <w:bookmarkStart w:id="54"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4"/>
    </w:p>
    <w:p>
      <w:pPr>
        <w:pStyle w:val="ReferenceEntry"/>
        <w:numPr>
          <w:ilvl w:val="0"/>
          <w:numId w:val="1001"/>
        </w:numPr>
        <w:jc w:val="left"/>
        <w:keepNext w:val="0"/>
        <w:keepLines w:val="0"/>
        <w:widowControl w:val="1"/>
      </w:pPr>
      <w:bookmarkStart w:id="55"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5"/>
    </w:p>
    <w:p>
      <w:pPr>
        <w:pStyle w:val="ReferenceEntry"/>
        <w:numPr>
          <w:ilvl w:val="0"/>
          <w:numId w:val="1001"/>
        </w:numPr>
        <w:jc w:val="left"/>
        <w:keepNext w:val="0"/>
        <w:keepLines w:val="0"/>
        <w:widowControl w:val="1"/>
      </w:pPr>
      <w:bookmarkStart w:id="56"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6"/>
    </w:p>
    <w:p>
      <w:pPr>
        <w:pStyle w:val="ReferenceEntry"/>
        <w:numPr>
          <w:ilvl w:val="0"/>
          <w:numId w:val="1001"/>
        </w:numPr>
        <w:jc w:val="left"/>
        <w:keepNext w:val="0"/>
        <w:keepLines w:val="0"/>
        <w:widowControl w:val="1"/>
      </w:pPr>
      <w:bookmarkStart w:id="57"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7"/>
    </w:p>
    <w:p>
      <w:pPr>
        <w:pStyle w:val="ReferenceEntry"/>
        <w:numPr>
          <w:ilvl w:val="0"/>
          <w:numId w:val="1001"/>
        </w:numPr>
        <w:jc w:val="left"/>
        <w:keepNext w:val="0"/>
        <w:keepLines w:val="0"/>
        <w:widowControl w:val="1"/>
      </w:pPr>
      <w:bookmarkStart w:id="58"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8"/>
    </w:p>
    <w:p>
      <w:pPr>
        <w:pStyle w:val="ReferenceEntry"/>
        <w:numPr>
          <w:ilvl w:val="0"/>
          <w:numId w:val="1001"/>
        </w:numPr>
        <w:jc w:val="left"/>
        <w:keepNext w:val="0"/>
        <w:keepLines w:val="0"/>
        <w:widowControl w:val="1"/>
      </w:pPr>
      <w:bookmarkStart w:id="59"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59"/>
    </w:p>
    <w:p>
      <w:pPr>
        <w:pStyle w:val="ReferenceEntry"/>
        <w:numPr>
          <w:ilvl w:val="0"/>
          <w:numId w:val="1001"/>
        </w:numPr>
        <w:jc w:val="left"/>
        <w:keepNext w:val="0"/>
        <w:keepLines w:val="0"/>
        <w:widowControl w:val="1"/>
      </w:pPr>
      <w:bookmarkStart w:id="60"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0"/>
    </w:p>
    <w:p>
      <w:pPr>
        <w:pStyle w:val="ReferenceEntry"/>
        <w:numPr>
          <w:ilvl w:val="0"/>
          <w:numId w:val="1001"/>
        </w:numPr>
        <w:jc w:val="left"/>
        <w:keepNext w:val="0"/>
        <w:keepLines w:val="0"/>
        <w:widowControl w:val="1"/>
      </w:pPr>
      <w:bookmarkStart w:id="61"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1"/>
    </w:p>
    <w:p>
      <w:pPr>
        <w:pStyle w:val="ReferenceEntry"/>
        <w:numPr>
          <w:ilvl w:val="0"/>
          <w:numId w:val="1001"/>
        </w:numPr>
        <w:jc w:val="left"/>
        <w:keepNext w:val="0"/>
        <w:keepLines w:val="0"/>
        <w:widowControl w:val="1"/>
      </w:pPr>
      <w:bookmarkStart w:id="62"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2"/>
    </w:p>
    <w:p>
      <w:pPr>
        <w:pStyle w:val="ReferenceEntry"/>
        <w:numPr>
          <w:ilvl w:val="0"/>
          <w:numId w:val="1001"/>
        </w:numPr>
        <w:jc w:val="left"/>
        <w:keepNext w:val="0"/>
        <w:keepLines w:val="0"/>
        <w:widowControl w:val="1"/>
      </w:pPr>
      <w:bookmarkStart w:id="63"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3"/>
    </w:p>
    <w:p>
      <w:pPr>
        <w:pStyle w:val="ReferenceEntry"/>
        <w:numPr>
          <w:ilvl w:val="0"/>
          <w:numId w:val="1001"/>
        </w:numPr>
        <w:jc w:val="left"/>
        <w:keepNext w:val="0"/>
        <w:keepLines w:val="0"/>
        <w:widowControl w:val="1"/>
      </w:pPr>
      <w:bookmarkStart w:id="64"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4"/>
    </w:p>
    <w:p>
      <w:pPr>
        <w:pStyle w:val="ReferenceEntry"/>
        <w:numPr>
          <w:ilvl w:val="0"/>
          <w:numId w:val="1001"/>
        </w:numPr>
        <w:jc w:val="left"/>
        <w:keepNext w:val="0"/>
        <w:keepLines w:val="0"/>
        <w:widowControl w:val="1"/>
      </w:pPr>
      <w:bookmarkStart w:id="65"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5"/>
    </w:p>
    <w:p>
      <w:pPr>
        <w:pStyle w:val="ReferenceEntry"/>
        <w:numPr>
          <w:ilvl w:val="0"/>
          <w:numId w:val="1001"/>
        </w:numPr>
        <w:jc w:val="left"/>
        <w:keepNext w:val="0"/>
        <w:keepLines w:val="0"/>
        <w:widowControl w:val="1"/>
      </w:pPr>
      <w:bookmarkStart w:id="66"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6"/>
    </w:p>
    <w:p>
      <w:pPr>
        <w:pStyle w:val="ReferenceEntry"/>
        <w:numPr>
          <w:ilvl w:val="0"/>
          <w:numId w:val="1001"/>
        </w:numPr>
        <w:jc w:val="left"/>
        <w:keepNext w:val="0"/>
        <w:keepLines w:val="0"/>
        <w:widowControl w:val="1"/>
      </w:pPr>
      <w:bookmarkStart w:id="67" w:name="ref-dobratz1981"/>
      <w:r>
        <w:t xml:space="preserve">Dobratz, B. M.</w:t>
      </w:r>
      <w:r>
        <w:t xml:space="preserve"> </w:t>
      </w:r>
      <w:r>
        <w:rPr>
          <w:i/>
          <w:iCs/>
        </w:rPr>
        <w:t xml:space="preserve">LLNL Explosives Handbook</w:t>
      </w:r>
      <w:r>
        <w:t xml:space="preserve">. UCRL-52997, Lawrence Livermore National Laboratory (1981).</w:t>
      </w:r>
      <w:bookmarkEnd w:id="67"/>
    </w:p>
    <w:p>
      <w:pPr>
        <w:pStyle w:val="ReferenceEntry"/>
        <w:numPr>
          <w:ilvl w:val="0"/>
          <w:numId w:val="1001"/>
        </w:numPr>
        <w:jc w:val="left"/>
        <w:keepNext w:val="0"/>
        <w:keepLines w:val="0"/>
        <w:widowControl w:val="1"/>
      </w:pPr>
      <w:bookmarkStart w:id="68" w:name="ref-suceska2007explo5"/>
      <w:r>
        <w:t xml:space="preserve">Suceška, M. EXPLO5 user's guide v6. Brodarski Institute, Zagreb (2014).</w:t>
      </w:r>
      <w:bookmarkEnd w:id="68"/>
    </w:p>
    <w:p>
      <w:pPr>
        <w:pStyle w:val="ReferenceEntry"/>
        <w:numPr>
          <w:ilvl w:val="0"/>
          <w:numId w:val="1001"/>
        </w:numPr>
        <w:jc w:val="left"/>
        <w:keepNext w:val="0"/>
        <w:keepLines w:val="0"/>
        <w:widowControl w:val="1"/>
      </w:pPr>
      <w:bookmarkStart w:id="69" w:name="ref-fried1996cheetah"/>
      <w:r>
        <w:t xml:space="preserve">Fried, L. E., Howard, W. M. &amp; Souers, P. C. Cheetah 2.0 user's manual. UCRL-MA-117541, Lawrence Livermore National Laboratory (1996).</w:t>
      </w:r>
      <w:bookmarkEnd w:id="69"/>
    </w:p>
    <w:p>
      <w:pPr>
        <w:pStyle w:val="ReferenceEntry"/>
        <w:numPr>
          <w:ilvl w:val="0"/>
          <w:numId w:val="1001"/>
        </w:numPr>
        <w:jc w:val="left"/>
        <w:keepNext w:val="0"/>
        <w:keepLines w:val="0"/>
        <w:widowControl w:val="1"/>
      </w:pPr>
      <w:bookmarkStart w:id="70"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0"/>
    </w:p>
    <w:p>
      <w:pPr>
        <w:pStyle w:val="ReferenceEntry"/>
        <w:numPr>
          <w:ilvl w:val="0"/>
          <w:numId w:val="1001"/>
        </w:numPr>
        <w:jc w:val="left"/>
        <w:keepNext w:val="0"/>
        <w:keepLines w:val="0"/>
        <w:widowControl w:val="1"/>
      </w:pPr>
      <w:bookmarkStart w:id="71"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1"/>
    </w:p>
    <w:p>
      <w:pPr>
        <w:pStyle w:val="ReferenceEntry"/>
        <w:numPr>
          <w:ilvl w:val="0"/>
          <w:numId w:val="1001"/>
        </w:numPr>
        <w:jc w:val="left"/>
        <w:keepNext w:val="0"/>
        <w:keepLines w:val="0"/>
        <w:widowControl w:val="1"/>
      </w:pPr>
      <w:bookmarkStart w:id="72"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2"/>
    </w:p>
    <w:p>
      <w:pPr>
        <w:pStyle w:val="ReferenceEntry"/>
        <w:numPr>
          <w:ilvl w:val="0"/>
          <w:numId w:val="1001"/>
        </w:numPr>
        <w:jc w:val="left"/>
        <w:keepNext w:val="0"/>
        <w:keepLines w:val="0"/>
        <w:widowControl w:val="1"/>
      </w:pPr>
      <w:bookmarkStart w:id="74" w:name="ref-daylight-smarts"/>
      <w:r>
        <w:t xml:space="preserve">Daylight Chemical Information Systems. SMARTS — A language for describing molecular patterns.</w:t>
      </w:r>
      <w:r>
        <w:t xml:space="preserve"> </w:t>
      </w:r>
      <w:hyperlink r:id="rId73">
        <w:r>
          <w:rPr>
            <w:rStyle w:val="Hyperlink"/>
          </w:rPr>
          <w:t xml:space="preserve">daylight.com/dayhtml/doc/theory/theory.smarts.html</w:t>
        </w:r>
      </w:hyperlink>
      <w:r>
        <w:t xml:space="preserve"> </w:t>
      </w:r>
      <w:r>
        <w:t xml:space="preserve">(accessed 2025).</w:t>
      </w:r>
      <w:bookmarkEnd w:id="74"/>
    </w:p>
    <w:p>
      <w:pPr>
        <w:pStyle w:val="ReferenceEntry"/>
        <w:numPr>
          <w:ilvl w:val="0"/>
          <w:numId w:val="1001"/>
        </w:numPr>
        <w:jc w:val="left"/>
        <w:keepNext w:val="0"/>
        <w:keepLines w:val="0"/>
        <w:widowControl w:val="1"/>
      </w:pPr>
      <w:bookmarkStart w:id="75"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5"/>
    </w:p>
    <w:p>
      <w:pPr>
        <w:pStyle w:val="ReferenceEntry"/>
        <w:numPr>
          <w:ilvl w:val="0"/>
          <w:numId w:val="1001"/>
        </w:numPr>
        <w:jc w:val="left"/>
        <w:keepNext w:val="0"/>
        <w:keepLines w:val="0"/>
        <w:widowControl w:val="1"/>
      </w:pPr>
      <w:bookmarkStart w:id="76"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6"/>
    </w:p>
    <w:p>
      <w:pPr>
        <w:pStyle w:val="ReferenceEntry"/>
        <w:numPr>
          <w:ilvl w:val="0"/>
          <w:numId w:val="1001"/>
        </w:numPr>
        <w:jc w:val="left"/>
        <w:keepNext w:val="0"/>
        <w:keepLines w:val="0"/>
        <w:widowControl w:val="1"/>
      </w:pPr>
      <w:bookmarkStart w:id="77"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77"/>
    </w:p>
    <w:p>
      <w:pPr>
        <w:pStyle w:val="ReferenceEntry"/>
        <w:numPr>
          <w:ilvl w:val="0"/>
          <w:numId w:val="1001"/>
        </w:numPr>
        <w:jc w:val="left"/>
        <w:keepNext w:val="0"/>
        <w:keepLines w:val="0"/>
        <w:widowControl w:val="1"/>
      </w:pPr>
      <w:bookmarkStart w:id="78"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78"/>
    </w:p>
    <w:p>
      <w:pPr>
        <w:pStyle w:val="ReferenceEntry"/>
        <w:numPr>
          <w:ilvl w:val="0"/>
          <w:numId w:val="1001"/>
        </w:numPr>
        <w:jc w:val="left"/>
        <w:keepNext w:val="0"/>
        <w:keepLines w:val="0"/>
        <w:widowControl w:val="1"/>
      </w:pPr>
      <w:bookmarkStart w:id="79"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79"/>
    </w:p>
    <w:p>
      <w:pPr>
        <w:pStyle w:val="ReferenceEntry"/>
        <w:numPr>
          <w:ilvl w:val="0"/>
          <w:numId w:val="1001"/>
        </w:numPr>
        <w:jc w:val="left"/>
        <w:keepNext w:val="0"/>
        <w:keepLines w:val="0"/>
        <w:widowControl w:val="1"/>
      </w:pPr>
      <w:bookmarkStart w:id="80" w:name="ref-stephens1994"/>
      <w:r>
        <w:t xml:space="preserve">Stephens, P. J., Devlin, F. J., Chabalowski, C. F. &amp; Frisch, M. J. Ab initio calculation of vibrational absorption and circular dichroism spectra using density functional force fields.</w:t>
      </w:r>
      <w:r>
        <w:t xml:space="preserve"> </w:t>
      </w:r>
      <w:r>
        <w:rPr>
          <w:i/>
          <w:iCs/>
        </w:rPr>
        <w:t xml:space="preserve">J. Phys. Chem.</w:t>
      </w:r>
      <w:r>
        <w:t xml:space="preserve"> </w:t>
      </w:r>
      <w:r>
        <w:rPr>
          <w:b/>
          <w:bCs/>
        </w:rPr>
        <w:t xml:space="preserve">98</w:t>
      </w:r>
      <w:r>
        <w:t xml:space="preserve">, 11623–11627 (1994).</w:t>
      </w:r>
      <w:bookmarkEnd w:id="80"/>
    </w:p>
    <w:p>
      <w:pPr>
        <w:pStyle w:val="ReferenceEntry"/>
        <w:numPr>
          <w:ilvl w:val="0"/>
          <w:numId w:val="1001"/>
        </w:numPr>
        <w:jc w:val="left"/>
        <w:keepNext w:val="0"/>
        <w:keepLines w:val="0"/>
        <w:widowControl w:val="1"/>
      </w:pPr>
      <w:bookmarkStart w:id="81" w:name="ref-zeni2025mattergen"/>
      <w:r>
        <w:t xml:space="preserve">Zeni, C.</w:t>
      </w:r>
      <w:r>
        <w:t xml:space="preserve"> </w:t>
      </w:r>
      <w:r>
        <w:rPr>
          <w:i/>
          <w:iCs/>
        </w:rPr>
        <w:t xml:space="preserve">et al.</w:t>
      </w:r>
      <w:r>
        <w:t xml:space="preserve"> </w:t>
      </w:r>
      <w:r>
        <w:t xml:space="preserve">A generative model for inorganic materials design.</w:t>
      </w:r>
      <w:r>
        <w:t xml:space="preserve"> </w:t>
      </w:r>
      <w:r>
        <w:rPr>
          <w:i/>
          <w:iCs/>
        </w:rPr>
        <w:t xml:space="preserve">Nature</w:t>
      </w:r>
      <w:r>
        <w:t xml:space="preserve"> </w:t>
      </w:r>
      <w:r>
        <w:rPr>
          <w:b/>
          <w:bCs/>
        </w:rPr>
        <w:t xml:space="preserve">639</w:t>
      </w:r>
      <w:r>
        <w:t xml:space="preserve">, 624–632 (2025).</w:t>
      </w:r>
      <w:bookmarkEnd w:id="81"/>
    </w:p>
    <w:p>
      <w:pPr>
        <w:pStyle w:val="ReferenceEntry"/>
        <w:numPr>
          <w:ilvl w:val="0"/>
          <w:numId w:val="1001"/>
        </w:numPr>
        <w:jc w:val="left"/>
        <w:keepNext w:val="0"/>
        <w:keepLines w:val="0"/>
        <w:widowControl w:val="1"/>
      </w:pPr>
      <w:bookmarkStart w:id="83" w:name="ref-liu2025denovohedm"/>
      <w:r>
        <w:t xml:space="preserve">Liu, J.</w:t>
      </w:r>
      <w:r>
        <w:t xml:space="preserve"> </w:t>
      </w:r>
      <w:r>
        <w:rPr>
          <w:i/>
          <w:iCs/>
        </w:rPr>
        <w:t xml:space="preserve">et al.</w:t>
      </w:r>
      <w:r>
        <w:t xml:space="preserve"> </w:t>
      </w:r>
      <w:r>
        <w:t xml:space="preserve">De novo multi-objective generation framework for energetic materials with trading off energy and stability.</w:t>
      </w:r>
      <w:r>
        <w:t xml:space="preserve"> </w:t>
      </w:r>
      <w:r>
        <w:rPr>
          <w:i/>
          <w:iCs/>
        </w:rPr>
        <w:t xml:space="preserve">npj Comput. Mater.</w:t>
      </w:r>
      <w:r>
        <w:t xml:space="preserve"> </w:t>
      </w:r>
      <w:r>
        <w:t xml:space="preserve">(2025).</w:t>
      </w:r>
      <w:r>
        <w:t xml:space="preserve"> </w:t>
      </w:r>
      <w:hyperlink r:id="rId82">
        <w:r>
          <w:rPr>
            <w:rStyle w:val="Hyperlink"/>
          </w:rPr>
          <w:t xml:space="preserve">https://doi.org/10.1038/s41524-025-01845-6</w:t>
        </w:r>
      </w:hyperlink>
      <w:r>
        <w:t xml:space="preserve">.</w:t>
      </w:r>
      <w:bookmarkEnd w:id="83"/>
    </w:p>
    <w:p>
      <w:pPr>
        <w:pStyle w:val="ReferenceEntry"/>
        <w:numPr>
          <w:ilvl w:val="0"/>
          <w:numId w:val="1001"/>
        </w:numPr>
        <w:jc w:val="left"/>
        <w:keepNext w:val="0"/>
        <w:keepLines w:val="0"/>
        <w:widowControl w:val="1"/>
      </w:pPr>
      <w:bookmarkStart w:id="84" w:name="ref-chen2025diffsmol"/>
      <w:r>
        <w:t xml:space="preserve">Chen, Z., Peng, B., Zhai, T.</w:t>
      </w:r>
      <w:r>
        <w:t xml:space="preserve"> </w:t>
      </w:r>
      <w:r>
        <w:rPr>
          <w:i/>
          <w:iCs/>
        </w:rPr>
        <w:t xml:space="preserve">et al.</w:t>
      </w:r>
      <w:r>
        <w:t xml:space="preserve"> </w:t>
      </w:r>
      <w:r>
        <w:t xml:space="preserve">Generating 3D small binding molecules using shape-conditioned diffusion models with guidance.</w:t>
      </w:r>
      <w:r>
        <w:t xml:space="preserve"> </w:t>
      </w:r>
      <w:r>
        <w:rPr>
          <w:i/>
          <w:iCs/>
        </w:rPr>
        <w:t xml:space="preserve">Nat. Mach. Intell.</w:t>
      </w:r>
      <w:r>
        <w:t xml:space="preserve"> </w:t>
      </w:r>
      <w:r>
        <w:rPr>
          <w:b/>
          <w:bCs/>
        </w:rPr>
        <w:t xml:space="preserve">7</w:t>
      </w:r>
      <w:r>
        <w:t xml:space="preserve">, 758–770 (2025).</w:t>
      </w:r>
      <w:bookmarkEnd w:id="84"/>
    </w:p>
    <w:p>
      <w:pPr>
        <w:pStyle w:val="ReferenceEntry"/>
        <w:numPr>
          <w:ilvl w:val="0"/>
          <w:numId w:val="1001"/>
        </w:numPr>
        <w:jc w:val="left"/>
        <w:keepNext w:val="0"/>
        <w:keepLines w:val="0"/>
        <w:widowControl w:val="1"/>
      </w:pPr>
      <w:bookmarkStart w:id="86" w:name="ref-wen2025emff"/>
      <w:r>
        <w:t xml:space="preserve">Wen, M.</w:t>
      </w:r>
      <w:r>
        <w:t xml:space="preserve"> </w:t>
      </w:r>
      <w:r>
        <w:rPr>
          <w:i/>
          <w:iCs/>
        </w:rPr>
        <w:t xml:space="preserve">et al.</w:t>
      </w:r>
      <w:r>
        <w:t xml:space="preserve"> </w:t>
      </w:r>
      <w:r>
        <w:t xml:space="preserve">EMFF-2025: a general neural network potential for energetic materials with C, H, N, and O elements.</w:t>
      </w:r>
      <w:r>
        <w:t xml:space="preserve"> </w:t>
      </w:r>
      <w:r>
        <w:rPr>
          <w:i/>
          <w:iCs/>
        </w:rPr>
        <w:t xml:space="preserve">npj Comput. Mater.</w:t>
      </w:r>
      <w:r>
        <w:t xml:space="preserve"> </w:t>
      </w:r>
      <w:r>
        <w:t xml:space="preserve">(2025).</w:t>
      </w:r>
      <w:r>
        <w:t xml:space="preserve"> </w:t>
      </w:r>
      <w:hyperlink r:id="rId85">
        <w:r>
          <w:rPr>
            <w:rStyle w:val="Hyperlink"/>
          </w:rPr>
          <w:t xml:space="preserve">https://doi.org/10.1038/s41524-025-01809-w</w:t>
        </w:r>
      </w:hyperlink>
      <w:r>
        <w:t xml:space="preserve">.</w:t>
      </w:r>
      <w:bookmarkEnd w:id="86"/>
    </w:p>
    <w:bookmarkEnd w:id="87"/>
    <w:bookmarkStart w:id="100" w:name="sec-methods"/>
    <w:p>
      <w:pPr>
        <w:pStyle w:val="Heading2"/>
        <w:keepNext/>
        <w:keepLines/>
        <w:widowControl w:val="1"/>
      </w:pPr>
      <w:r>
        <w:t xml:space="preserve">Methods</w:t>
      </w:r>
    </w:p>
    <w:bookmarkStart w:id="88" w:name="m-dataset"/>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20</w:t>
        </w:r>
      </w:hyperlink>
      <w:r>
        <w:t xml:space="preserve">, converted to SELFIES</w:t>
      </w:r>
      <w:hyperlink w:anchor="ref-krenn2020selfies">
        <w:r>
          <w:rPr>
            <w:rStyle w:val="Hyperlink"/>
          </w:rPr>
          <w:t xml:space="preserve">12</w:t>
        </w:r>
      </w:hyperlink>
      <w:r>
        <w:t xml:space="preserve">, and tokenised. A high-tail oversampling layer is applied at denoiser-training time on Tier-A/B rows; the per-denoiser tilt (HOF tail or</w:t>
      </w:r>
      <w:r>
        <w:t xml:space="preserve"> </w:t>
      </w:r>
      <m:oMath>
        <m:r>
          <m:t>ρ</m:t>
        </m:r>
        <m:r>
          <m:t>D</m:t>
        </m:r>
        <m:r>
          <m:t>P</m:t>
        </m:r>
      </m:oMath>
      <w:r>
        <w:t xml:space="preserve"> </w:t>
      </w:r>
      <w:r>
        <w:t xml:space="preserve">tail) is described under "Two complementary denoisers" below. Combined with the tier-gated conditional gradient, the asymmetric oversampling raises the mean predicted detonation velocity of the top leads by 0.4 km/s relative to a uniform-sampling control.</w:t>
      </w:r>
    </w:p>
    <w:bookmarkEnd w:id="88"/>
    <w:bookmarkStart w:id="89" w:name="m-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 the standard ELBO objective</w:t>
      </w:r>
      <w:r>
        <w:t xml:space="preserve"> </w:t>
      </w:r>
      <m:oMath>
        <m:r>
          <m:rPr>
            <m:scr m:val="script"/>
            <m:sty m:val="p"/>
          </m:rPr>
          <m:t>L</m:t>
        </m:r>
        <m:r>
          <m:rPr>
            <m:sty m:val="p"/>
          </m:rPr>
          <m:t>(</m:t>
        </m:r>
        <m:r>
          <m:t>x</m:t>
        </m:r>
        <m:r>
          <m:rPr>
            <m:sty m:val="p"/>
          </m:rPr>
          <m:t>)</m:t>
        </m:r>
        <m:r>
          <m:rPr>
            <m:sty m:val="p"/>
          </m:rPr>
          <m:t>=</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rPr>
            <m:sty m:val="p"/>
          </m:rPr>
          <m:t>+</m:t>
        </m:r>
        <m:r>
          <m:t>β</m:t>
        </m:r>
        <m:r>
          <m:rPr>
            <m:sty m:val="p"/>
          </m:rPr>
          <m:t>⋅</m:t>
        </m:r>
        <m:r>
          <m:rPr>
            <m:nor/>
            <m:sty m:val="p"/>
          </m:rPr>
          <m:t>KL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oMath>
      <w:r>
        <w:t xml:space="preserve"> </w:t>
      </w:r>
      <w:r>
        <w:t xml:space="preserve">at</w:t>
      </w:r>
      <w:r>
        <w:t xml:space="preserve"> </w:t>
      </w:r>
      <m:oMath>
        <m:r>
          <m:t>β</m:t>
        </m:r>
        <m:r>
          <m:rPr>
            <m:sty m:val="p"/>
          </m:rPr>
          <m:t>=</m:t>
        </m:r>
        <m:r>
          <m:t>0.01</m:t>
        </m:r>
      </m:oMath>
      <w:r>
        <w:t xml:space="preserve"> </w:t>
      </w:r>
      <w:r>
        <w:t xml:space="preserve">(free-bits clipping disabled), and freeze the encoder thereafter. The encoder maps a (B, 72) SELFIES-token tensor through a 64-dim embedding and a four-layer MLP</w:t>
      </w:r>
      <w:r>
        <w:t xml:space="preserve"> </w:t>
      </w:r>
      <m:oMath>
        <m:r>
          <m:rPr>
            <m:sty m:val="p"/>
          </m:rPr>
          <m:t>(</m:t>
        </m:r>
      </m:oMath>
      <w:r>
        <w:t xml:space="preserve">Linear(72·64</w:t>
      </w:r>
      <w:r>
        <w:t xml:space="preserve"> </w:t>
      </w:r>
      <m:oMath>
        <m:r>
          <m:rPr>
            <m:sty m:val="p"/>
          </m:rPr>
          <m:t>→</m:t>
        </m:r>
      </m:oMath>
      <w:r>
        <w:t xml:space="preserve"> </w:t>
      </w:r>
      <w:r>
        <w:t xml:space="preserve">2000)–ReLU–Linear(2000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2 · 1024)</w:t>
      </w:r>
      <m:oMath>
        <m:r>
          <m:rPr>
            <m:sty m:val="p"/>
          </m:rPr>
          <m:t>)</m:t>
        </m:r>
      </m:oMath>
      <w:r>
        <w:t xml:space="preserve"> </w:t>
      </w:r>
      <w:r>
        <w:t xml:space="preserve">to a 1024-dim Gaussian latent (the final 2 · 1024 head packs</w:t>
      </w:r>
      <w:r>
        <w:t xml:space="preserve"> </w:t>
      </w:r>
      <m:oMath>
        <m:r>
          <m:t>μ</m:t>
        </m:r>
      </m:oMath>
      <w:r>
        <w:t xml:space="preserve"> </w:t>
      </w:r>
      <w:r>
        <w:t xml:space="preserve">and</w:t>
      </w:r>
      <w:r>
        <w:t xml:space="preserve"> </w:t>
      </w:r>
      <m:oMath>
        <m:r>
          <m:rPr>
            <m:sty m:val="p"/>
          </m:rPr>
          <m:t>log</m:t>
        </m:r>
        <m:sSup>
          <m:e>
            <m:r>
              <m:t>σ</m:t>
            </m:r>
          </m:e>
          <m:sup>
            <m:r>
              <m:t>2</m:t>
            </m:r>
          </m:sup>
        </m:sSup>
      </m:oMath>
      <w:r>
        <w:t xml:space="preserve">); the decoder mirrors this architecture and produces a (B, 72, 108) log-probability tensor in parallel (non-autoregressive).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 sufficient because the diffusion sampler explores latent space rather than reconstructing held-out molecules. The cached tensor stores, per row, the latent mean,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the per-row tier weight, the per-property availability mask, and per-property normalisation statistics (mean and standard deviation over the trusted Tier-A and Tier-B subset).</w:t>
      </w:r>
    </w:p>
    <w:bookmarkEnd w:id="89"/>
    <w:bookmarkStart w:id="90" w:name="m-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gates which of the four conditioning properties (</w:t>
      </w:r>
      <m:oMath>
        <m:r>
          <m:t>ρ</m:t>
        </m:r>
      </m:oMath>
      <w:r>
        <w:t xml:space="preserve">, HOF,</w:t>
      </w:r>
      <w:r>
        <w:t xml:space="preserve"> </w:t>
      </w:r>
      <m:oMath>
        <m:r>
          <m:t>D</m:t>
        </m:r>
      </m:oMath>
      <w:r>
        <w:t xml:space="preserve">,</w:t>
      </w:r>
      <w:r>
        <w:t xml:space="preserve"> </w:t>
      </w:r>
      <m:oMath>
        <m:r>
          <m:t>P</m:t>
        </m:r>
      </m:oMath>
      <w:r>
        <w:t xml:space="preserve">) enter FiLM at each step via a five-stage stochastic pipeline. (i)</w:t>
      </w:r>
      <w:r>
        <w:t xml:space="preserve"> </w:t>
      </w:r>
      <w:r>
        <w:rPr>
          <w:i/>
          <w:iCs/>
        </w:rPr>
        <w:t xml:space="preserve">Subset-size sampling</w:t>
      </w:r>
      <w:r>
        <w:t xml:space="preserve"> </w:t>
      </w:r>
      <w:r>
        <w:t xml:space="preserve">draws</w:t>
      </w:r>
      <w:r>
        <w:t xml:space="preserve"> </w:t>
      </w:r>
      <m:oMath>
        <m:r>
          <m:t>k</m:t>
        </m:r>
      </m:oMath>
      <w:r>
        <w:t xml:space="preserve"> </w:t>
      </w:r>
      <w:r>
        <w:t xml:space="preserve">from a Categorical with probabilities</w:t>
      </w:r>
      <w:r>
        <w:t xml:space="preserve"> </w:t>
      </w:r>
      <m:oMath>
        <m:r>
          <m:rPr>
            <m:sty m:val="p"/>
          </m:rPr>
          <m:t>{</m:t>
        </m:r>
        <m:r>
          <m:t>0</m:t>
        </m:r>
        <m:r>
          <m:t>​</m:t>
        </m:r>
        <m:r>
          <m:rPr>
            <m:sty m:val="p"/>
          </m:rPr>
          <m:t>:</m:t>
        </m:r>
        <m:r>
          <m:t>​</m:t>
        </m:r>
        <m:r>
          <m:t>.10</m:t>
        </m:r>
        <m:r>
          <m:rPr>
            <m:sty m:val="p"/>
          </m:rPr>
          <m:t>,</m:t>
        </m:r>
        <m:r>
          <m:t>1</m:t>
        </m:r>
        <m:r>
          <m:t>​</m:t>
        </m:r>
        <m:r>
          <m:rPr>
            <m:sty m:val="p"/>
          </m:rPr>
          <m:t>:</m:t>
        </m:r>
        <m:r>
          <m:t>​</m:t>
        </m:r>
        <m:r>
          <m:t>.25</m:t>
        </m:r>
        <m:r>
          <m:rPr>
            <m:sty m:val="p"/>
          </m:rPr>
          <m:t>,</m:t>
        </m:r>
        <m:r>
          <m:t>2</m:t>
        </m:r>
        <m:r>
          <m:t>​</m:t>
        </m:r>
        <m:r>
          <m:rPr>
            <m:sty m:val="p"/>
          </m:rPr>
          <m:t>:</m:t>
        </m:r>
        <m:r>
          <m:t>​</m:t>
        </m:r>
        <m:r>
          <m:t>.30</m:t>
        </m:r>
        <m:r>
          <m:rPr>
            <m:sty m:val="p"/>
          </m:rPr>
          <m:t>,</m:t>
        </m:r>
        <m:r>
          <m:t>3</m:t>
        </m:r>
        <m:r>
          <m:t>​</m:t>
        </m:r>
        <m:r>
          <m:rPr>
            <m:sty m:val="p"/>
          </m:rPr>
          <m:t>:</m:t>
        </m:r>
        <m:r>
          <m:t>​</m:t>
        </m:r>
        <m:r>
          <m:t>.25</m:t>
        </m:r>
        <m:r>
          <m:rPr>
            <m:sty m:val="p"/>
          </m:rPr>
          <m:t>,</m:t>
        </m:r>
        <m:r>
          <m:t>4</m:t>
        </m:r>
        <m:r>
          <m:t>​</m:t>
        </m:r>
        <m:r>
          <m:rPr>
            <m:sty m:val="p"/>
          </m:rPr>
          <m:t>:</m:t>
        </m:r>
        <m:r>
          <m:t>​</m:t>
        </m:r>
        <m:r>
          <m:t>.10</m:t>
        </m:r>
        <m:r>
          <m:rPr>
            <m:sty m:val="p"/>
          </m:rPr>
          <m:t>}</m:t>
        </m:r>
      </m:oMath>
      <w:r>
        <w:t xml:space="preserve">. (ii)</w:t>
      </w:r>
      <w:r>
        <w:t xml:space="preserve"> </w:t>
      </w:r>
      <w:r>
        <w:rPr>
          <w:i/>
          <w:iCs/>
        </w:rPr>
        <w:t xml:space="preserve">Weighted pick</w:t>
      </w:r>
      <w:r>
        <w:t xml:space="preserve"> </w:t>
      </w:r>
      <w:r>
        <w:t xml:space="preserve">samples</w:t>
      </w:r>
      <w:r>
        <w:t xml:space="preserve"> </w:t>
      </w:r>
      <m:oMath>
        <m:r>
          <m:t>k</m:t>
        </m:r>
      </m:oMath>
      <w:r>
        <w:t xml:space="preserve"> </w:t>
      </w:r>
      <w:r>
        <w:t xml:space="preserve">properties from the per-row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using tier-weight-scaled multinomial draws to form a tentative one-hot. (iii)</w:t>
      </w:r>
      <w:r>
        <w:t xml:space="preserve"> </w:t>
      </w:r>
      <w:r>
        <w:rPr>
          <w:i/>
          <w:iCs/>
        </w:rPr>
        <w:t xml:space="preserve">Property dropout</w:t>
      </w:r>
      <w:r>
        <w:t xml:space="preserve"> </w:t>
      </w:r>
      <w:r>
        <w:t xml:space="preserve">at rate 0.30 independently zeroes each entry of the tentative mask. (iv)</w:t>
      </w:r>
      <w:r>
        <w:t xml:space="preserve"> </w:t>
      </w:r>
      <w:r>
        <w:rPr>
          <w:i/>
          <w:iCs/>
        </w:rPr>
        <w:t xml:space="preserve">CFG dropout</w:t>
      </w:r>
      <w:r>
        <w:t xml:space="preserve"> </w:t>
      </w:r>
      <w:r>
        <w:t xml:space="preserve">at rate 0.10 zeroes the entire mask, sending the example through the unconditional branch. (v) The output mask gates only the FiLM property input, while the per-row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nor/>
            <m:sty m:val="p"/>
          </m:rPr>
          <m:t>mean</m:t>
        </m:r>
        <m:r>
          <m:rPr>
            <m:sty m:val="p"/>
          </m:rPr>
          <m:t>(</m:t>
        </m:r>
        <m:sSub>
          <m:e>
            <m:r>
              <m:t>w</m:t>
            </m:r>
          </m:e>
          <m:sub>
            <m:r>
              <m:rPr>
                <m:nor/>
                <m:sty m:val="p"/>
              </m:rPr>
              <m:t>tier</m:t>
            </m:r>
          </m:sub>
        </m:sSub>
        <m:r>
          <m:rPr>
            <m:sty m:val="p"/>
          </m:rPr>
          <m:t>⊙</m:t>
        </m:r>
        <m:r>
          <m:t>m</m:t>
        </m:r>
        <m:r>
          <m:rPr>
            <m:sty m:val="p"/>
          </m:rPr>
          <m:t>)</m:t>
        </m:r>
      </m:oMath>
      <w:r>
        <w:t xml:space="preserve"> </w:t>
      </w:r>
      <w:r>
        <w:t xml:space="preserve">modulates the per-sample loss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 </w:t>
      </w:r>
      <w:r>
        <w:t xml:space="preserve">selected from a three-point sweep</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w:t>
      </w:r>
    </w:p>
    <w:bookmarkEnd w:id="90"/>
    <w:bookmarkStart w:id="91" w:name="m-scoremodel"/>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28</w:t>
        </w:r>
      </w:hyperlink>
      <w:r>
        <w:t xml:space="preserve">). Self-distillation refines the viability head over three rounds (round 0: 0 hard negatives; round 1: 137; round 2 / production: 918), executing a five-step protocol per round. (i)</w:t>
      </w:r>
      <w:r>
        <w:t xml:space="preserve"> </w:t>
      </w:r>
      <w:r>
        <w:rPr>
          <w:i/>
          <w:iCs/>
        </w:rPr>
        <w:t xml:space="preserve">Sample</w:t>
      </w:r>
      <w:r>
        <w:t xml:space="preserve">: draw 5,000 candidates with the current score-model checkpoint at the production sampling configuration. (ii)</w:t>
      </w:r>
      <w:r>
        <w:t xml:space="preserve"> </w:t>
      </w:r>
      <w:r>
        <w:rPr>
          <w:i/>
          <w:iCs/>
        </w:rPr>
        <w:t xml:space="preserve">Filter</w:t>
      </w:r>
      <w:r>
        <w:t xml:space="preserve">: pass candidates through Stages 1+2 of the validation funnel and retain only those scored above the round's viability threshold but flagged by chemist review as non-viable (false positives that the current viability head fails to demote). (iii)</w:t>
      </w:r>
      <w:r>
        <w:t xml:space="preserve"> </w:t>
      </w:r>
      <w:r>
        <w:rPr>
          <w:i/>
          <w:iCs/>
        </w:rPr>
        <w:t xml:space="preserve">Encode</w:t>
      </w:r>
      <w:r>
        <w:t xml:space="preserve">: pass each false-positive through the frozen LIMO encoder to produce its latent. (iv)</w:t>
      </w:r>
      <w:r>
        <w:t xml:space="preserve"> </w:t>
      </w:r>
      <w:r>
        <w:rPr>
          <w:i/>
          <w:iCs/>
        </w:rPr>
        <w:t xml:space="preserve">Append</w:t>
      </w:r>
      <w:r>
        <w:t xml:space="preserve">: add these latents to the score-model training set with viability label set to zero (other heads marked as availability = 0 since their labels are unmodified by the sampling correction). (v)</w:t>
      </w:r>
      <w:r>
        <w:t xml:space="preserve"> </w:t>
      </w:r>
      <w:r>
        <w:rPr>
          <w:i/>
          <w:iCs/>
        </w:rPr>
        <w:t xml:space="preserve">Retrain</w:t>
      </w:r>
      <w:r>
        <w:t xml:space="preserve">: train the next round's score model from scratch on the augmented dataset. Convergence is determined by a chemist-defined held-out probe consisting of seven anchors (RDX, HMX, TNT, FOX-7, PETN, TATB, NTO) that must all reach probability</w:t>
      </w:r>
      <w:r>
        <w:t xml:space="preserve"> </w:t>
      </w:r>
      <m:oMath>
        <m:r>
          <m:rPr>
            <m:sty m:val="p"/>
          </m:rPr>
          <m:t>≥</m:t>
        </m:r>
        <m:r>
          <m:t>0.86</m:t>
        </m:r>
      </m:oMath>
      <w:r>
        <w:t xml:space="preserve"> </w:t>
      </w:r>
      <w:r>
        <w:t xml:space="preserve">and five chemist-defined “cheats” (canonical model-cheat motifs such as gem-tetranitromethyl on aromatic carbons; deliberately constructed to exploit known surrogate weaknesses) that must all stay</w:t>
      </w:r>
      <w:r>
        <w:t xml:space="preserve"> </w:t>
      </w:r>
      <m:oMath>
        <m:r>
          <m:rPr>
            <m:sty m:val="p"/>
          </m:rPr>
          <m:t>≤</m:t>
        </m:r>
        <m:r>
          <m:t>0.84</m:t>
        </m:r>
      </m:oMath>
      <w:r>
        <w:t xml:space="preserve">. Three rounds satisfy this jointly; no fourth round was needed. Sensitivity labels are derived from a Politzer–Murray</w:t>
      </w:r>
      <w:hyperlink w:anchor="ref-politzer2014">
        <w:r>
          <w:rPr>
            <w:rStyle w:val="Hyperlink"/>
          </w:rPr>
          <w:t xml:space="preserve">31</w:t>
        </w:r>
      </w:hyperlink>
      <w:r>
        <w:t xml:space="preserve"> </w:t>
      </w:r>
      <w:r>
        <w:t xml:space="preserve">bond-dissociation-energy chemotype-class fit on the Huang &amp; Massa</w:t>
      </w:r>
      <w:hyperlink w:anchor="ref-huang2021bde">
        <w:r>
          <w:rPr>
            <w:rStyle w:val="Hyperlink"/>
          </w:rPr>
          <w:t xml:space="preserve">30</w:t>
        </w:r>
      </w:hyperlink>
      <w:r>
        <w:t xml:space="preserve"> </w:t>
      </w:r>
      <w:r>
        <w:t xml:space="preserve">drop-weight</w:t>
      </w:r>
      <w:r>
        <w:t xml:space="preserve"> </w:t>
      </w:r>
      <m:oMath>
        <m:sSub>
          <m:e>
            <m:r>
              <m:t>h</m:t>
            </m:r>
          </m:e>
          <m:sub>
            <m:r>
              <m:t>50</m:t>
            </m:r>
          </m:sub>
        </m:sSub>
      </m:oMath>
      <w:r>
        <w:t xml:space="preserve"> </w:t>
      </w:r>
      <w:r>
        <w:t xml:space="preserve">data: BDE values are computed by relaxed scans along the weakest C–NO</w:t>
      </w:r>
      <m:oMath>
        <m:sSub>
          <m:e>
            <m:r>
              <m:t>​</m:t>
            </m:r>
          </m:e>
          <m:sub>
            <m:r>
              <m:t>2</m:t>
            </m:r>
          </m:sub>
        </m:sSub>
      </m:oMath>
      <w:r>
        <w:t xml:space="preserve"> </w:t>
      </w:r>
      <w:r>
        <w:t xml:space="preserve">or N–NO</w:t>
      </w:r>
      <m:oMath>
        <m:sSub>
          <m:e>
            <m:r>
              <m:t>​</m:t>
            </m:r>
          </m:e>
          <m:sub>
            <m:r>
              <m:t>2</m:t>
            </m:r>
          </m:sub>
        </m:sSub>
      </m:oMath>
      <w:r>
        <w:t xml:space="preserve"> </w:t>
      </w:r>
      <w:r>
        <w:t xml:space="preserve">bond, regressed against tabulated</w:t>
      </w:r>
      <w:r>
        <w:t xml:space="preserve"> </w:t>
      </w:r>
      <m:oMath>
        <m:sSub>
          <m:e>
            <m:r>
              <m:t>h</m:t>
            </m:r>
          </m:e>
          <m:sub>
            <m:r>
              <m:t>50</m:t>
            </m:r>
          </m:sub>
        </m:sSub>
      </m:oMath>
      <w:r>
        <w:t xml:space="preserve"> </w:t>
      </w:r>
      <w:r>
        <w:t xml:space="preserve">within chemotype classes, and the regressor is then applied corpus-wide to label every row. Hazard labels combine the chemist-curated SMARTS catalogue (a domain-expert list of motifs flagged as shock-, friction-, or thermally sensitive beyond what gas-phase electronic structure can capture) with the Bruns–Watson</w:t>
      </w:r>
      <w:hyperlink w:anchor="ref-bruns2012">
        <w:r>
          <w:rPr>
            <w:rStyle w:val="Hyperlink"/>
          </w:rPr>
          <w:t xml:space="preserve">29</w:t>
        </w:r>
      </w:hyperlink>
      <w:r>
        <w:t xml:space="preserve"> </w:t>
      </w:r>
      <w:r>
        <w:t xml:space="preserve">demerit list (a published reactivity rule-set originally compiled for medicinal chemistry filtering). The synthetic-accessibility (SA) and synthetic-complexity (SC) heads use SAScore and SCScore labels respectively (computed corpus-wide), trained as auxiliary multi-task signals; their gradients during sampling are zeroed in production because a drug-domain SA gradient worsens the energetic-materials composite by 13% in head-to-head ablation. Per-head loss weights are hand-set so each</w:t>
      </w:r>
      <w:r>
        <w:t xml:space="preserve"> </w:t>
      </w:r>
      <m:oMath>
        <m:sSub>
          <m:e>
            <m:r>
              <m:rPr>
                <m:scr m:val="script"/>
                <m:sty m:val="p"/>
              </m:rPr>
              <m:t>L</m:t>
            </m:r>
          </m:e>
          <m:sub>
            <m:r>
              <m:t>k</m:t>
            </m:r>
          </m:sub>
        </m:sSub>
      </m:oMath>
      <w:r>
        <w:t xml:space="preserve"> </w:t>
      </w:r>
      <w:r>
        <w:t xml:space="preserve">sits at order one at convergence: viability and hazard at 1.0, sensitivity and SA at 0.5, SC at 0.3, performance at 0.7.</w:t>
      </w:r>
    </w:p>
    <w:bookmarkEnd w:id="91"/>
    <w:bookmarkStart w:id="92" w:name="m-sampl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a four-test grid-norm diagnostic across both configurations confirmed that the production setting recovers per-step gradient magnitudes consistent with the score-model's training distribution, while the unmodified image-domain recipe zeroes the bus during the first</w:t>
      </w:r>
      <w:r>
        <w:t xml:space="preserve"> </w:t>
      </w:r>
      <m:oMath>
        <m:r>
          <m:rPr>
            <m:sty m:val="p"/>
          </m:rPr>
          <m:t>∼</m:t>
        </m:r>
      </m:oMath>
      <w:r>
        <w:t xml:space="preserve">10 of 40 DDIM steps (where the anneal multiplier sits near zero) and saturates the clamp during the last</w:t>
      </w:r>
      <w:r>
        <w:t xml:space="preserve"> </w:t>
      </w:r>
      <m:oMath>
        <m:r>
          <m:rPr>
            <m:sty m:val="p"/>
          </m:rPr>
          <m:t>∼</m:t>
        </m:r>
      </m:oMath>
      <w:r>
        <w:t xml:space="preserve">10 (where natural per-row gradient magnitudes are 8–30, well above 5). The final</w:t>
      </w:r>
      <w:r>
        <w:t xml:space="preserve"> </w:t>
      </w:r>
      <m:oMath>
        <m:sSub>
          <m:e>
            <m:r>
              <m:t>z</m:t>
            </m:r>
          </m:e>
          <m:sub>
            <m:r>
              <m:t>0</m:t>
            </m:r>
          </m:sub>
        </m:sSub>
      </m:oMath>
      <w:r>
        <w:t xml:space="preserve"> </w:t>
      </w:r>
      <w:r>
        <w:t xml:space="preserve">decodes through the frozen LIMO decoder to a SMILES pool.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 An optional five-lane configuration (two production lanes plus three diversity-axis lanes varying conditioning targets and guidance configurations) lifts post-filter yield approximately fivefold and surfaces 24 distinct Bemis–Murcko scaffolds versus seven in a single lane, at proportional compute cost.</w:t>
      </w:r>
    </w:p>
    <w:bookmarkEnd w:id="92"/>
    <w:bookmarkStart w:id="93" w:name="m-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41</w:t>
        </w:r>
      </w:hyperlink>
      <w:r>
        <w:t xml:space="preserve"> </w:t>
      </w:r>
      <w:r>
        <w:t xml:space="preserve">catalogue removes radicals, sulphur, halogens, mixed valence states, and other red flags. SAScore</w:t>
      </w:r>
      <w:hyperlink w:anchor="ref-ertl2009sa">
        <w:r>
          <w:rPr>
            <w:rStyle w:val="Hyperlink"/>
          </w:rPr>
          <w:t xml:space="preserve">25</w:t>
        </w:r>
      </w:hyperlink>
      <w:r>
        <w:t xml:space="preserve"> </w:t>
      </w:r>
      <m:oMath>
        <m:r>
          <m:rPr>
            <m:sty m:val="p"/>
          </m:rPr>
          <m:t>≤</m:t>
        </m:r>
        <m:r>
          <m:t>5.0</m:t>
        </m:r>
      </m:oMath>
      <w:r>
        <w:t xml:space="preserve"> </w:t>
      </w:r>
      <w:r>
        <w:t xml:space="preserve">and SCScore</w:t>
      </w:r>
      <w:hyperlink w:anchor="ref-coley2018scscore">
        <w:r>
          <w:rPr>
            <w:rStyle w:val="Hyperlink"/>
          </w:rPr>
          <w:t xml:space="preserve">26</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16</w:t>
        </w:r>
      </w:hyperlink>
      <w:hyperlink w:anchor="ref-lyp1988">
        <w:r>
          <w:rPr>
            <w:rStyle w:val="Hyperlink"/>
          </w:rPr>
          <w:t xml:space="preserve">17</w:t>
        </w:r>
      </w:hyperlink>
      <w:hyperlink w:anchor="ref-stephens1994">
        <w:r>
          <w:rPr>
            <w:rStyle w:val="Hyperlink"/>
          </w:rPr>
          <w:t xml:space="preserve">47</w:t>
        </w:r>
      </w:hyperlink>
      <w:r>
        <w:t xml:space="preserve">/6-31G(d) optimisation followed by</w:t>
      </w:r>
      <w:r>
        <w:t xml:space="preserve"> </w:t>
      </w:r>
      <m:oMath>
        <m:r>
          <m:t>ω</m:t>
        </m:r>
      </m:oMath>
      <w:r>
        <w:t xml:space="preserve">B97X-D3BJ</w:t>
      </w:r>
      <w:hyperlink w:anchor="ref-mardirossian2014">
        <w:r>
          <w:rPr>
            <w:rStyle w:val="Hyperlink"/>
          </w:rPr>
          <w:t xml:space="preserve">18</w:t>
        </w:r>
      </w:hyperlink>
      <w:hyperlink w:anchor="ref-grimme2010d3">
        <w:r>
          <w:rPr>
            <w:rStyle w:val="Hyperlink"/>
          </w:rPr>
          <w:t xml:space="preserve">44</w:t>
        </w:r>
      </w:hyperlink>
      <w:hyperlink w:anchor="ref-becke2011">
        <w:r>
          <w:rPr>
            <w:rStyle w:val="Hyperlink"/>
          </w:rPr>
          <w:t xml:space="preserve">45</w:t>
        </w:r>
      </w:hyperlink>
      <w:r>
        <w:t xml:space="preserve">/def2-TZVP</w:t>
      </w:r>
      <w:hyperlink w:anchor="ref-weigend2005">
        <w:r>
          <w:rPr>
            <w:rStyle w:val="Hyperlink"/>
          </w:rPr>
          <w:t xml:space="preserve">46</w:t>
        </w:r>
      </w:hyperlink>
      <w:r>
        <w:t xml:space="preserve"> </w:t>
      </w:r>
      <w:r>
        <w:t xml:space="preserve">single-points on GPU4PySCF</w:t>
      </w:r>
      <w:hyperlink w:anchor="ref-gpu4pyscf">
        <w:r>
          <w:rPr>
            <w:rStyle w:val="Hyperlink"/>
          </w:rPr>
          <w:t xml:space="preserve">42</w:t>
        </w:r>
      </w:hyperlink>
      <w:hyperlink w:anchor="ref-sun2018">
        <w:r>
          <w:rPr>
            <w:rStyle w:val="Hyperlink"/>
          </w:rPr>
          <w:t xml:space="preserve">43</w:t>
        </w:r>
      </w:hyperlink>
      <w:r>
        <w:t xml:space="preserve">. Vibrational frequency analysis is performed at the optimised geometry; structures with any imaginary frequency are rejected as transition-state-like rather than true minima. Density is computed from Bondi</w:t>
      </w:r>
      <w:hyperlink w:anchor="ref-bondi1964">
        <w:r>
          <w:rPr>
            <w:rStyle w:val="Hyperlink"/>
          </w:rPr>
          <w:t xml:space="preserve">19</w:t>
        </w:r>
      </w:hyperlink>
      <w:r>
        <w:t xml:space="preserve"> </w:t>
      </w:r>
      <w:r>
        <w:t xml:space="preserve">van-der-Waals volume integration over the optimised electron density with a packing factor of 0.69 (within the 0.65–0.72 range typical for organic CHNO crystals; the 6-anchor calibration absorbs the systematic average packing-factor offset). Heat of formation is computed from the optimised electronic energy via standard atomisation-energy decomposition with literature reference enthalpies for the constituent atoms. At the production setting (pool = 40k per denoiser),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85 of 100 surviving xTB</w:t>
      </w:r>
      <w:r>
        <w:t xml:space="preserve"> </w:t>
      </w:r>
      <m:oMath>
        <m:r>
          <m:rPr>
            <m:sty m:val="p"/>
          </m:rPr>
          <m:t>→</m:t>
        </m:r>
      </m:oMath>
      <w:r>
        <w:t xml:space="preserve"> </w:t>
      </w:r>
      <w:r>
        <w:t xml:space="preserve">12 leads selected for full DFT audit (highest composite scores combined with chemist review for chemotype diversity)</w:t>
      </w:r>
      <w:r>
        <w:t xml:space="preserve"> </w:t>
      </w:r>
      <m:oMath>
        <m:r>
          <m:rPr>
            <m:sty m:val="p"/>
          </m:rPr>
          <m:t>→</m:t>
        </m:r>
      </m:oMath>
      <w:r>
        <w:t xml:space="preserve"> </w:t>
      </w:r>
      <w:r>
        <w:t xml:space="preserve">all 12 confirmed as real local minima.</w:t>
      </w:r>
    </w:p>
    <w:bookmarkEnd w:id="93"/>
    <w:bookmarkStart w:id="94" w:name="m-calibration"/>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35</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The six anchors were chosen to span the densely-populated experimentally-anchored region of the energetic-materials composition space at production-grade purity: RDX and HMX (canonical military explosives, ring nitramines), TATB (insensitive aromatic, low</w:t>
      </w:r>
      <w:r>
        <w:t xml:space="preserve"> </w:t>
      </w:r>
      <m:oMath>
        <m:r>
          <m:t>D</m:t>
        </m:r>
      </m:oMath>
      <w:r>
        <w:t xml:space="preserve">), PETN (oxygen-rich nitrate ester), FOX-7 (push–pull nitroamine), and NTO (nitrotriazolone). A 7th-anchor extension with DNTF (a dinitrofurazanofurazan candidate intended to extend the calibration into the high-density furazan family) failed to optimise to a stable minimum under the same DFT protocol and was retained as a known limitation rather than included in the calibration. Absolute-grade detonation velocities require a thermochemical-equilibrium Chapman–Jouguet code</w:t>
      </w:r>
      <w:hyperlink w:anchor="ref-suceska2007explo5">
        <w:r>
          <w:rPr>
            <w:rStyle w:val="Hyperlink"/>
          </w:rPr>
          <w:t xml:space="preserve">36</w:t>
        </w:r>
      </w:hyperlink>
      <w:hyperlink w:anchor="ref-fried1996cheetah">
        <w:r>
          <w:rPr>
            <w:rStyle w:val="Hyperlink"/>
          </w:rPr>
          <w:t xml:space="preserve">37</w:t>
        </w:r>
      </w:hyperlink>
      <w:hyperlink w:anchor="ref-cantera">
        <w:r>
          <w:rPr>
            <w:rStyle w:val="Hyperlink"/>
          </w:rPr>
          <w:t xml:space="preserve">38</w:t>
        </w:r>
      </w:hyperlink>
      <w:r>
        <w:t xml:space="preserve">, which we do not run; we report relative ranking against the six anchors and quantify the regime residual on 575 Tier-A experimental rows.</w:t>
      </w:r>
    </w:p>
    <w:bookmarkEnd w:id="94"/>
    <w:bookmarkStart w:id="95" w:name="m-compute"/>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rented datacenter A100 instances at standard commercial pay-per-use rates (Modal and vast.ai).</w:t>
      </w:r>
    </w:p>
    <w:bookmarkEnd w:id="95"/>
    <w:bookmarkStart w:id="97" w:name="m-data"/>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6">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7"/>
    <w:bookmarkStart w:id="99" w:name="m-code"/>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8">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9"/>
    <w:bookmarkEnd w:id="100"/>
    <w:bookmarkStart w:id="101"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authors for releasing their pretrained checkpoint, which we fine-tune in this work.</w:t>
      </w:r>
    </w:p>
    <w:bookmarkEnd w:id="101"/>
    <w:bookmarkStart w:id="102"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102"/>
    <w:bookmarkStart w:id="103"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103"/>
    <w:bookmarkStart w:id="104"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104"/>
    <w:bookmarkStart w:id="105"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accompanies this paper.</w:t>
      </w:r>
      <w:r>
        <w:t xml:space="preserve"> </w:t>
      </w:r>
      <w:r>
        <w:rPr>
          <w:b/>
          <w:bCs/>
        </w:rPr>
        <w:t xml:space="preserve">Correspondence and requests for materials</w:t>
      </w:r>
      <w:r>
        <w:t xml:space="preserve"> </w:t>
      </w:r>
      <w:r>
        <w:t xml:space="preserve">should be addressed to Y.A.</w:t>
      </w:r>
    </w:p>
    <w:bookmarkEnd w:id="10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85" Type="http://schemas.openxmlformats.org/officeDocument/2006/relationships/hyperlink" Target="https://doi.org/10.1038/s41524-025-01809-w" TargetMode="External"/><Relationship Id="rId82" Type="http://schemas.openxmlformats.org/officeDocument/2006/relationships/hyperlink" Target="https://doi.org/10.1038/s41524-025-01845-6" TargetMode="External"/><Relationship Id="rId96" Type="http://schemas.openxmlformats.org/officeDocument/2006/relationships/hyperlink" Target="https://doi.org/10.5281/zenodo.19821953" TargetMode="External"/><Relationship Id="rId98"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5" Type="http://schemas.openxmlformats.org/officeDocument/2006/relationships/hyperlink" Target="https://doi.org/10.1038/s41524-025-01809-w" TargetMode="External"/><Relationship Id="rId82" Type="http://schemas.openxmlformats.org/officeDocument/2006/relationships/hyperlink" Target="https://doi.org/10.1038/s41524-025-01845-6" TargetMode="External"/><Relationship Id="rId96" Type="http://schemas.openxmlformats.org/officeDocument/2006/relationships/hyperlink" Target="https://doi.org/10.5281/zenodo.19821953" TargetMode="External"/><Relationship Id="rId98"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2026-05-11T03:03:07Z</dcterms:created>
  <dcterms:modified xsi:type="dcterms:W3CDTF">2026-05-11T03:03:07Z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