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Article</w:t>
      </w:r>
    </w:p>
    <w:p w14:paraId="12ABEACC" w14:textId="77777777" w:rsidR="009323F1" w:rsidRPr="00AF0422" w:rsidRDefault="009323F1" w:rsidP="009323F1">
      <w:pPr>
        <w:pStyle w:val="MDPI12title"/>
      </w:pPr>
      <w:r>
        <w:rPr>
          <w:b w:val="0"/>
        </w:rPr>
        <w:t>Domain-Gated Latent Diffusion for the Inverse Design of Novel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Department of Intelligent Systems, Afeka Tel-Aviv College of Engineering, Tel-Aviv, Israel</w:t>
      </w:r>
    </w:p>
    <w:p w14:paraId="55E597B5" w14:textId="77777777" w:rsidR="009323F1" w:rsidRPr="00AF0422" w:rsidRDefault="009323F1" w:rsidP="009323F1">
      <w:pPr>
        <w:pStyle w:val="MDPI16affiliation"/>
      </w:pPr>
      <w:r>
        <w:rPr>
          <w:b w:val="0"/>
        </w:rPr>
        <w:t>2 School of Computer Science, Faculty of Sciences, Holon Institute of Technology (HIT), Holon, Israel</w:t>
      </w:r>
    </w:p>
    <w:p w14:paraId="63F9EDB1" w14:textId="77777777" w:rsidR="009323F1" w:rsidRPr="00AF0422" w:rsidRDefault="009323F1" w:rsidP="009323F1">
      <w:pPr>
        <w:pStyle w:val="MDPI16affiliation"/>
      </w:pPr>
      <w:r>
        <w:rPr>
          <w:b w:val="0"/>
        </w:rPr>
        <w:t>* Correspondence: apersteiny@afeka.ac.il</w:t>
      </w:r>
    </w:p>
    <w:p w14:paraId="40FD8619" w14:textId="77777777" w:rsidR="00B43A65" w:rsidRPr="00B43A65" w:rsidRDefault="009323F1" w:rsidP="00B43A65">
      <w:pPr>
        <w:pStyle w:val="MDPI17abstract"/>
        <w:jc w:val="left"/>
        <w:rPr>
          <w:b/>
        </w:rPr>
      </w:pPr>
      <w:r>
        <w:rPr>
          <w:b/>
        </w:rPr>
        <w:t xml:space="preserve">Abstract: </w:t>
      </w:r>
      <w:r>
        <w:rPr>
          <w:b w:val="0"/>
        </w:rPr>
        <w:t>Designing new high-energy-density materials is a data-limited inverse problem: of ~66,000 CHNO molecules with reported detonation properties, only ~3,000 carry trustworthy experimental or quantum-chemistry values, so models trained on it memorise the high-performance tail or extrapolate without calibration. We introduce Domain-Gated Latent Diffusion (DGLD) , coupling generative design to first-principles validation. A four-tier label-trust gate routes only high-quality labels into the conditional gradient while noisy labels train the unconditional prior; a score model adds switchable sample-time steering over viability, sensitivity, and hazard; and a four-stage funnel (SMARTS filter, Pareto reranker, GFN2-xTB triage, and two-level DFT: B3LYP/6-31G(d) geometry, ωB97X-D3BJ/def2-TZVP single-point) validates every candidate. DGLD yields 11 unique DFT-confirmed novel leads; the headline compound, 3,4,5-trinitro-1,2-isoxazole, reaches a calibrated density of 2.09 g cm −3 and a Kamlet–Jacobs detonation velocity of 8.25 km s −1 , and is structurally distinct from all 65,980 training molecules (Tanimoto 0.27). On the same recipe the HMX and PETN anchors calibrate to 7.52 and 8.24 km s −1 , so it ranks among the strongest anchors. Against four baselines on the same corpus, DGLD is the only method whose novel candidates are shown to stay competitive under DFT validation. The recipe is domain-agnostic; code, model checkpoints, and 918 mined hard negatives are released openly.</w:t>
      </w:r>
    </w:p>
    <w:p>
      <w:pPr>
        <w:pStyle w:val="MDPI18keywords"/>
      </w:pPr>
      <w:r>
        <w:rPr>
          <w:b/>
        </w:rPr>
        <w:t xml:space="preserve">Keywords: </w:t>
      </w:r>
      <w:r>
        <w:rPr>
          <w:b w:val="0"/>
        </w:rPr>
        <w:t>generative models; latent diffusion; inverse molecular design; high-throughput screening; energetic materials; high-energy density materials; density functional theory; materials informatics; structure–property relationships; data-driven discovery</w:t>
      </w:r>
    </w:p>
    <w:bookmarkEnd w:id="2"/>
    <w:bookmarkEnd w:id="3"/>
    <w:bookmarkEnd w:id="4"/>
    <w:p>
      <w:pPr>
        <w:pStyle w:val="MDPI21heading1"/>
        <w:ind w:left="2608"/>
      </w:pPr>
      <w:r>
        <w:t xml:space="preserve">1. Introduction</w:t>
      </w:r>
    </w:p>
    <w:p>
      <w:pPr>
        <w:pStyle w:val="MDPI32textnoindent"/>
        <w:ind w:left="2608"/>
      </w:pPr>
      <w:r>
        <w:t xml:space="preserve">Energetic-materials performance gains translate directly into reduced propellant mass, smaller warheads, and more efficient civilian gas-generators, yet the canonical anchors of the field (HMX and CL-20) were developed decades ago and few new HMX-class compounds have been disclosed in the decades since. The space of synthesisable CHNO small molecules with the right balance of crystal density, oxygen balance (OB), heat of formation,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w:t>
        </w:r>
      </w:hyperlink>
      <w:r>
        <w:t xml:space="preserve">) are regime-limited; discriminative surrogates</w:t>
      </w:r>
      <w:r>
        <w:t xml:space="preserve"> </w:t>
      </w:r>
      <w:hyperlink w:anchor="ref-casey2020prediction">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[4]</w:t>
        </w:r>
      </w:hyperlink>
      <w:r>
        <w:t xml:space="preserve"> </w:t>
      </w:r>
      <w:r>
        <w:t xml:space="preserve">fail silently when the generative trajectory is as short as molecular generation requires. Compounding these challenges, the labelled corpus is tier-stratified: of ~66 k labelled rows only ~3 k carry a trustworthy experimental or DFT label on the target detonation properties, with the rest supplying empirical-formula or Uni-Mol-surrogate estimates of sharply lower reliability.</w:t>
      </w:r>
    </w:p>
    <w:p>
      <w:pPr>
        <w:pStyle w:val="MDPI31text"/>
        <w:ind w:left="2608"/>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MDPI31text"/>
        <w:ind w:left="2608"/>
      </w:pPr>
      <w:r>
        <w:t xml:space="preserve">DGLD yields 11 unique DFT-confirmed novel leads (12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placing it within the HMX/PETN performance band at max-Tanimoto 0.27 to our 65 980-row labelled corpus (Section 2.2). DGLD behaves as a</w:t>
      </w:r>
      <w:r>
        <w:t xml:space="preserve"> </w:t>
      </w:r>
      <w:r>
        <w:rPr>
          <w:i/>
          <w:iCs/>
        </w:rPr>
        <w:t xml:space="preserve">productive-quadrant generator</w:t>
      </w:r>
      <w:r>
        <w:t xml:space="preserve">: it samples molecules that are simultaneously novel relative to the labelled master and competitive with the HMX/PETN reference class on predicted detonation performance. Across three strong energetics-domain baselines (SMILES-LSTM, SELFIES-GA, REINVENT 4), DGLD is the only method whose novel candidates remain on-target under first-principles DFT validation: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(a 3.5 km s</w:t>
      </w:r>
      <w:r>
        <w:rPr>
          <w:vertAlign w:val="superscript"/>
        </w:rPr>
        <w:t xml:space="preserve">−1</w:t>
      </w:r>
      <w:r>
        <w:t xml:space="preserve"> </w:t>
      </w:r>
      <w:r>
        <w:t xml:space="preserve">surrogate artefact); REINVENT 4 generates novel high-N heterocycles but peaks at a surrogate</w:t>
      </w:r>
      <w:r>
        <w:t xml:space="preserve"> </w:t>
      </w:r>
      <m:oMath>
        <m:r>
          <m:t>D</m:t>
        </m:r>
        <m:r>
          <m:rPr>
            <m:sty m:val="p"/>
          </m:rPr>
          <m:t>=</m:t>
        </m:r>
        <m:r>
          <m:t>9.02</m:t>
        </m:r>
      </m:oMath>
      <w:r>
        <w:t xml:space="preserve"> km s</w:t>
      </w:r>
      <w:r>
        <w:rPr>
          <w:vertAlign w:val="superscript"/>
        </w:rPr>
        <w:t xml:space="preserve">−1</w:t>
      </w:r>
      <w:r>
        <w:t xml:space="preserve"> </w:t>
      </w:r>
      <w:r>
        <w:t xml:space="preserve">that was not DFT-audited. A second lead, E1 (4-nitro-1,2,3,5-oxatriazole), reaches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from a chemically distinct scaffold family, pending thermal stability confirmation and an oxatriazole-class DFT anchor (Section 3). The tier-gating recipe is domain-agnostic; only the validation funnel changes per application.</w:t>
      </w:r>
    </w:p>
    <w:p xmlns:a="http://schemas.openxmlformats.org/drawingml/2006/main" xmlns:pic="http://schemas.openxmlformats.org/drawingml/2006/picture">
      <w:pPr>
        <w:pStyle w:val="MDPI52figure"/>
        <w:ind w:left="2608"/>
        <w:jc w:val="center"/>
      </w:pPr>
      <w:r>
        <w:drawing>
          <wp:inline>
            <wp:extent cx="4989830" cy="1534372"/>
            <wp:effectExtent b="0" l="0" r="0" t="0"/>
            <wp:docPr descr="Headline figure: novelty vs predicted properties" title="" id="11" name="Picture"/>
            <a:graphic>
              <a:graphicData uri="http://schemas.openxmlformats.org/drawingml/2006/picture">
                <pic:pic>
                  <pic:nvPicPr>
                    <pic:cNvPr descr="../figs/novelty_vs_D.png" id="12" name="Picture"/>
                    <pic:cNvPicPr>
                      <a:picLocks noChangeArrowheads="1" noChangeAspect="1"/>
                    </pic:cNvPicPr>
                  </pic:nvPicPr>
                  <pic:blipFill>
                    <a:blip r:embed="rId18"/>
                    <a:stretch>
                      <a:fillRect/>
                    </a:stretch>
                  </pic:blipFill>
                  <pic:spPr bwMode="auto">
                    <a:xfrm>
                      <a:off x="0" y="0"/>
                      <a:ext cx="4989830" cy="1534372"/>
                    </a:xfrm>
                    <a:prstGeom prst="rect">
                      <a:avLst/>
                    </a:prstGeom>
                    <a:noFill/>
                    <a:ln w="9525">
                      <a:noFill/>
                      <a:headEnd/>
                      <a:tailEnd/>
                    </a:ln>
                  </pic:spPr>
                </pic:pic>
              </a:graphicData>
            </a:graphic>
          </wp:inline>
        </w:drawing>
      </w:r>
    </w:p>
    <w:p>
      <w:pPr>
        <w:pStyle w:val="MDPI51figurecaption"/>
        <w:ind w:left="2608"/>
      </w:pPr>
      <w:r>
        <w:rPr>
          <w:b/>
          <w:bCs/>
        </w:rPr>
        <w:t xml:space="preserve">Figure 1.</w:t>
      </w:r>
      <w:r>
        <w:t xml:space="preserve"> </w:t>
      </w:r>
      <w:r>
        <w:t xml:space="preserve">Top-1 candidate per method against novelty on three property axes (</w:t>
      </w:r>
      <m:oMath>
        <m:r>
          <m:t>D</m:t>
        </m:r>
      </m:oMath>
      <w:r>
        <w:t xml:space="preserve">,</w:t>
      </w:r>
      <w:r>
        <w:t xml:space="preserve"> </w:t>
      </w:r>
      <m:oMath>
        <m:r>
          <m:t>ρ</m:t>
        </m:r>
      </m:oMath>
      <w:r>
        <w:t xml:space="preserve">,</w:t>
      </w:r>
      <w:r>
        <w:t xml:space="preserve"> </w:t>
      </w:r>
      <m:oMath>
        <m:r>
          <m:t>P</m:t>
        </m:r>
      </m:oMath>
      <w:r>
        <w:t xml:space="preserve">). DGLD (blue, 7 settings × 3 seeds) clears the novelty floor (max-Tanimoto &lt; 0.55) on every axis and lands in the HMX-class band (DGLD points on the</w:t>
      </w:r>
      <w:r>
        <w:t xml:space="preserve"> </w:t>
      </w:r>
      <m:oMath>
        <m:r>
          <m:t>D</m:t>
        </m:r>
      </m:oMath>
      <w:r>
        <w:t xml:space="preserve"> </w:t>
      </w:r>
      <w:r>
        <w:t xml:space="preserve">panel are Uni-Mol surrogate scores and the anchors are at their reported literature</w:t>
      </w:r>
      <w:r>
        <w:t xml:space="preserve"> </w:t>
      </w:r>
      <m:oMath>
        <m:r>
          <m:t>D</m:t>
        </m:r>
      </m:oMath>
      <w:r>
        <w:t xml:space="preserve">; only the DFT-calibrated Kamlet–Jacobs values for the DGLD leads, in Table 2, are directly scale-matched to the anchors). SMILES-LSTM (red X) is exact rediscovery (Tanimoto = 1.0); MolMIM 70 M (gold) is novel but at</w:t>
      </w:r>
      <w:r>
        <w:t xml:space="preserve"> </w:t>
      </w:r>
      <m:oMath>
        <m:r>
          <m:t>D</m:t>
        </m:r>
        <m:r>
          <m:rPr>
            <m:sty m:val="p"/>
          </m:rPr>
          <m:t>=</m:t>
        </m:r>
        <m:r>
          <m:t>7.70</m:t>
        </m:r>
      </m:oMath>
      <w:r>
        <w:t xml:space="preserve"> km s</w:t>
      </w:r>
      <w:r>
        <w:rPr>
          <w:vertAlign w:val="superscript"/>
        </w:rPr>
        <w:t xml:space="preserve">−1</w:t>
      </w:r>
      <w:r>
        <w:t xml:space="preserve">; REINVENT 4 (green square) reaches</w:t>
      </w:r>
      <w:r>
        <w:t xml:space="preserve"> </w:t>
      </w:r>
      <m:oMath>
        <m:r>
          <m:t>D</m:t>
        </m:r>
        <m:r>
          <m:rPr>
            <m:sty m:val="p"/>
          </m:rPr>
          <m:t>=</m:t>
        </m:r>
        <m:r>
          <m:t>9.02</m:t>
        </m:r>
      </m:oMath>
      <w:r>
        <w:t xml:space="preserve"> km s</w:t>
      </w:r>
      <w:r>
        <w:rPr>
          <w:vertAlign w:val="superscript"/>
        </w:rPr>
        <w:t xml:space="preserve">−1</w:t>
      </w:r>
      <w:r>
        <w:t xml:space="preserve"> </w:t>
      </w:r>
      <w:r>
        <w:t xml:space="preserve">at novelty 0.43 (Table 7); SELFIES-GA (purple) shows a surrogate-to-DFT collapse on the</w:t>
      </w:r>
      <w:r>
        <w:t xml:space="preserve"> </w:t>
      </w:r>
      <m:oMath>
        <m:r>
          <m:t>D</m:t>
        </m:r>
      </m:oMath>
      <w:r>
        <w:t xml:space="preserve"> </w:t>
      </w:r>
      <w:r>
        <w:t xml:space="preserve">panel inset (</w:t>
      </w:r>
      <m:oMath>
        <m:r>
          <m:t>D</m:t>
        </m:r>
        <m:r>
          <m:rPr>
            <m:sty m:val="p"/>
          </m:rPr>
          <m:t>=</m:t>
        </m:r>
        <m:r>
          <m:t>9.73</m:t>
        </m:r>
        <m:r>
          <m:rPr>
            <m:sty m:val="p"/>
          </m:rPr>
          <m:t>→</m:t>
        </m:r>
        <m:r>
          <m:t>6.28</m:t>
        </m:r>
      </m:oMath>
      <w:r>
        <w:t xml:space="preserve"> km s</w:t>
      </w:r>
      <w:r>
        <w:rPr>
          <w:vertAlign w:val="superscript"/>
        </w:rPr>
        <w:t xml:space="preserve">−1</w:t>
      </w:r>
      <w:r>
        <w:t xml:space="preserve">). Marker area encodes</w:t>
      </w:r>
      <w:r>
        <w:t xml:space="preserve"> </w:t>
      </w:r>
      <m:oMath>
        <m:r>
          <m:rPr>
            <m:sty m:val="p"/>
          </m:rPr>
          <m:t>(</m:t>
        </m:r>
        <m:r>
          <m:t>1</m:t>
        </m:r>
        <m:r>
          <m:rPr>
            <m:sty m:val="p"/>
          </m:rPr>
          <m:t>−</m:t>
        </m:r>
        <m:r>
          <m:rPr>
            <m:nor/>
            <m:sty m:val="p"/>
          </m:rPr>
          <m:t>memorisation rate</m:t>
        </m:r>
        <m:r>
          <m:rPr>
            <m:sty m:val="p"/>
          </m:rPr>
          <m:t>)</m:t>
        </m:r>
      </m:oMath>
      <w:r>
        <w:t xml:space="preserve">, shrinking SMILES-LSTM and SELFIES-GA. Literature anchors (RDX/HMX/CL-20/TATB/PETN) at novelty = 0 (grey triangles); green-tinted upper-right quadrant is the productive zone.</w:t>
      </w:r>
    </w:p>
    <w:p>
      <w:pPr>
        <w:pStyle w:val="MDPI31text"/>
        <w:ind w:left="2608"/>
      </w:pPr>
      <w:r>
        <w:rPr>
          <w:b/>
          <w:bCs/>
        </w:rPr>
        <w:t xml:space="preserve">Note on Figure 1.</w:t>
      </w:r>
      <w:r>
        <w:t xml:space="preserve"> </w:t>
      </w:r>
      <w:r>
        <w:t xml:space="preserve">Hz-C2 top-1 surrogate values (Uni-Mol scale):</w:t>
      </w:r>
      <w:r>
        <w:t xml:space="preserve"> </w:t>
      </w:r>
      <m:oMath>
        <m:r>
          <m:t>D</m:t>
        </m:r>
      </m:oMath>
      <w:r>
        <w:t xml:space="preserve"> </w:t>
      </w:r>
      <w:r>
        <w:t xml:space="preserve">= 9.39 km s</w:t>
      </w:r>
      <w:r>
        <w:rPr>
          <w:vertAlign w:val="superscript"/>
        </w:rPr>
        <w:t xml:space="preserve">−1</w:t>
      </w:r>
      <w:r>
        <w:t xml:space="preserve">,</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 s</w:t>
      </w:r>
      <w:r>
        <w:rPr>
          <w:vertAlign w:val="superscript"/>
        </w:rPr>
        <w:t xml:space="preserve">−1</w:t>
      </w:r>
      <w:r>
        <w:t xml:space="preserve"> </w:t>
      </w:r>
      <w:r>
        <w:t xml:space="preserve">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pPr>
      <w:r>
        <w:rPr>
          <w:b/>
          <w:bCs/>
        </w:rPr>
        <w:t xml:space="preserve">A tier-gated training recipe for sparse-label molecular generation.</w:t>
      </w:r>
      <w:r>
        <w:t xml:space="preserve"> </w:t>
      </w:r>
      <w:r>
        <w:t xml:space="preserve">Only trustworthy labels enter the conditional gradient, while lower-confidence labels train the unconditional prior (Section 4.1).</w:t>
      </w:r>
    </w:p>
    <w:p>
      <w:pPr>
        <w:pStyle w:val="Compact"/>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(Section 4.11), closing the gap between the Random Forest teacher's class boundary and the latent regions the sampler actually inhabits.</w:t>
      </w:r>
    </w:p>
    <w:p>
      <w:pPr>
        <w:pStyle w:val="Compact"/>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pPr>
      <w:r>
        <w:rPr>
          <w:b/>
          <w:bCs/>
        </w:rPr>
        <w:t xml:space="preserve">DFT-validated novel HMX-class candidates.</w:t>
      </w:r>
      <w:r>
        <w:t xml:space="preserve"> </w:t>
      </w:r>
      <w:r>
        <w:t xml:space="preserve">Twelve chem-pass leads are confirmed as true local minima under B3LYP/6-31G(d) and calibrated against six reference compounds under</w:t>
      </w:r>
      <w:r>
        <w:t xml:space="preserve"> </w:t>
      </w:r>
      <m:oMath>
        <m:r>
          <m:t>ω</m:t>
        </m:r>
      </m:oMath>
      <w:r>
        <w:t xml:space="preserve">B97X-D3BJ/def2-TZVP. Lead L1 (trinitro-1,2-isoxazole) is absent from PubChem and the 65 980-row labelled master (max-Tanimoto 0.27); DFT-calibrated:</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Uni-Mol surrogate:</w:t>
      </w:r>
      <w:r>
        <w:t xml:space="preserve"> </w:t>
      </w:r>
      <m:oMath>
        <m:r>
          <m:t>D</m:t>
        </m:r>
        <m:r>
          <m:rPr>
            <m:sty m:val="p"/>
          </m:rPr>
          <m:t>=</m:t>
        </m:r>
        <m:r>
          <m:t>9.56</m:t>
        </m:r>
      </m:oMath>
      <w:r>
        <w:t xml:space="preserve"> km s</w:t>
      </w:r>
      <w:r>
        <w:rPr>
          <w:vertAlign w:val="superscript"/>
        </w:rPr>
        <w:t xml:space="preserve">−1</w:t>
      </w:r>
      <w:r>
        <w:t xml:space="preserve"> </w:t>
      </w:r>
      <w:r>
        <w:t xml:space="preserve">(see Section 2.3 for K-J relative-ranking basis). E1 (1,2,3,5-oxatriazole family,</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is a further lead from a chemically distinct family, pending addition of an oxatriazole-class DFT anchor (Section 3); the extension set spans eight Bemis–Murcko scaffolds across seven chemotype families.</w:t>
      </w:r>
    </w:p>
    <w:p xmlns:a="http://schemas.openxmlformats.org/drawingml/2006/main" xmlns:pic="http://schemas.openxmlformats.org/drawingml/2006/picture">
      <w:pPr>
        <w:pStyle w:val="MDPI52figure"/>
        <w:ind w:left="2608"/>
        <w:jc w:val="center"/>
      </w:pPr>
      <w:r>
        <w:drawing>
          <wp:inline>
            <wp:extent cx="4989830" cy="2017762"/>
            <wp:effectExtent b="0" l="0" r="0" t="0"/>
            <wp:docPr descr="Top leads in the (D,P) plane" title="" id="14" name="Picture"/>
            <a:graphic>
              <a:graphicData uri="http://schemas.openxmlformats.org/drawingml/2006/picture">
                <pic:pic>
                  <pic:nvPicPr>
                    <pic:cNvPr descr="../figs/fig3_leads_dp_plane.png" id="15" name="Picture"/>
                    <pic:cNvPicPr>
                      <a:picLocks noChangeArrowheads="1" noChangeAspect="1"/>
                    </pic:cNvPicPr>
                  </pic:nvPicPr>
                  <pic:blipFill>
                    <a:blip r:embed="rId19"/>
                    <a:stretch>
                      <a:fillRect/>
                    </a:stretch>
                  </pic:blipFill>
                  <pic:spPr bwMode="auto">
                    <a:xfrm>
                      <a:off x="0" y="0"/>
                      <a:ext cx="4989830" cy="2017762"/>
                    </a:xfrm>
                    <a:prstGeom prst="rect">
                      <a:avLst/>
                    </a:prstGeom>
                    <a:noFill/>
                    <a:ln w="9525">
                      <a:noFill/>
                      <a:headEnd/>
                      <a:tailEnd/>
                    </a:ln>
                  </pic:spPr>
                </pic:pic>
              </a:graphicData>
            </a:graphic>
          </wp:inline>
        </w:drawing>
      </w:r>
    </w:p>
    <w:p>
      <w:pPr>
        <w:pStyle w:val="MDPI51figurecaption"/>
        <w:ind w:left="2608"/>
      </w:pPr>
      <w:r>
        <w:rPr>
          <w:b/>
          <w:bCs/>
        </w:rPr>
        <w:t xml:space="preserve">Figure 2.</w:t>
      </w:r>
      <w:r>
        <w:t xml:space="preserve"> </w:t>
      </w:r>
      <w:r>
        <w:t xml:space="preserve">Top-200 leads from the pool=40k joint rerank in the (</w:t>
      </w:r>
      <m:oMath>
        <m:r>
          <m:t>D</m:t>
        </m:r>
      </m:oMath>
      <w:r>
        <w:t xml:space="preserve">,</w:t>
      </w:r>
      <w:r>
        <w:t xml:space="preserve"> </w:t>
      </w:r>
      <m:oMath>
        <m:r>
          <m:t>P</m:t>
        </m:r>
      </m:oMath>
      <w:r>
        <w:t xml:space="preserve">) plane. Panel A colours each point by predicted density</w:t>
      </w:r>
      <w:r>
        <w:t xml:space="preserve"> </w:t>
      </w:r>
      <m:oMath>
        <m:r>
          <m:t>ρ</m:t>
        </m:r>
      </m:oMath>
      <w:r>
        <w:t xml:space="preserve"> </w:t>
      </w:r>
      <w:r>
        <w:t xml:space="preserve">(viridis); panel B by novelty (1 minus max Morgan-FP-2 Tanimoto to the labelled master, plasma 0–1). Anchors and target lines</w:t>
      </w:r>
      <w:r>
        <w:t xml:space="preserve"> </w:t>
      </w:r>
      <m:oMath>
        <m:r>
          <m:t>D</m:t>
        </m:r>
        <m:r>
          <m:rPr>
            <m:sty m:val="p"/>
          </m:rPr>
          <m:t>=</m:t>
        </m:r>
        <m:r>
          <m:t>9.5</m:t>
        </m:r>
      </m:oMath>
      <w:r>
        <w:t xml:space="preserve"> km s</w:t>
      </w:r>
      <w:r>
        <w:rPr>
          <w:vertAlign w:val="superscript"/>
        </w:rPr>
        <w:t xml:space="preserve">−1</w:t>
      </w:r>
      <w:r>
        <w:t xml:space="preserve">,</w:t>
      </w:r>
      <w:r>
        <w:t xml:space="preserve"> </w:t>
      </w:r>
      <m:oMath>
        <m:r>
          <m:t>P</m:t>
        </m:r>
        <m:r>
          <m:rPr>
            <m:sty m:val="p"/>
          </m:rPr>
          <m:t>=</m:t>
        </m:r>
        <m:r>
          <m:t>40</m:t>
        </m:r>
      </m:oMath>
      <w:r>
        <w:t xml:space="preserve"> GPa overlay both panels.</w:t>
      </w:r>
    </w:p>
    <w:p>
      <w:pPr>
        <w:pStyle w:val="MDPI22heading2"/>
        <w:ind w:left="2608"/>
      </w:pPr>
      <w:r>
        <w:t xml:space="preserve">1.1. Related Work</w:t>
      </w:r>
    </w:p>
    <w:p>
      <w:pPr>
        <w:pStyle w:val="MDPI32textnoindent"/>
        <w:ind w:left="2608"/>
      </w:pPr>
      <w:r>
        <w:t xml:space="preserve">DGLD draws on, and departs from, several strands of prior work, reviewed below.</w:t>
      </w:r>
    </w:p>
    <w:p>
      <w:pPr>
        <w:pStyle w:val="MDPI31text"/>
        <w:ind w:left="2608"/>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(CFG),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p>
      <w:pPr>
        <w:pStyle w:val="MDPI22heading2"/>
        <w:ind w:left="2608"/>
      </w:pPr>
      <w:r>
        <w:t xml:space="preserve">1.1.1 Molecular generative models</w:t>
      </w:r>
    </w:p>
    <w:p>
      <w:pPr>
        <w:pStyle w:val="MDPI32textnoindent"/>
        <w:ind w:left="2608"/>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[5]</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[6]</w:t>
        </w:r>
      </w:hyperlink>
      <w:r>
        <w:t xml:space="preserve"> </w:t>
      </w:r>
      <w:r>
        <w:t xml:space="preserve">moved the latent up to fragment graphs to guarantee chemical validity; CDDD</w:t>
      </w:r>
      <w:r>
        <w:t xml:space="preserve"> </w:t>
      </w:r>
      <w:hyperlink w:anchor="ref-winter2019cddd">
        <w:r>
          <w:rPr>
            <w:rStyle w:val="Hyperlink"/>
          </w:rPr>
          <w:t xml:space="preserve">[7]</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[8]</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[9]</w:t>
        </w:r>
      </w:hyperlink>
      <w:r>
        <w:t xml:space="preserve"> </w:t>
      </w:r>
      <w:r>
        <w:t xml:space="preserve">replaced SMILES with a syntactically robust string representation in which every token sequence decodes to a valid graph, and is the representation we adopt at the encoder boundary.</w:t>
      </w:r>
    </w:p>
    <w:p>
      <w:pPr>
        <w:pStyle w:val="MDPI31text"/>
        <w:ind w:left="2608"/>
      </w:pPr>
      <w:r>
        <w:t xml:space="preserve">Two more recent latent generators are particularly relevant to DGLD. LIMO</w:t>
      </w:r>
      <w:r>
        <w:t xml:space="preserve"> </w:t>
      </w:r>
      <w:hyperlink w:anchor="ref-eckmann2022limo">
        <w:r>
          <w:rPr>
            <w:rStyle w:val="Hyperlink"/>
          </w:rPr>
          <w:t xml:space="preserve">[10]</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[11]</w:t>
        </w:r>
      </w:hyperlink>
      <w:r>
        <w:t xml:space="preserve"> </w:t>
      </w:r>
      <w:r>
        <w:t xml:space="preserve">trains a Perceiver-encoder</w:t>
      </w:r>
      <w:r>
        <w:t xml:space="preserve"> </w:t>
      </w:r>
      <w:hyperlink w:anchor="ref-jaegle2021perceiver">
        <w:r>
          <w:rPr>
            <w:rStyle w:val="Hyperlink"/>
          </w:rPr>
          <w:t xml:space="preserve">[12]</w:t>
        </w:r>
      </w:hyperlink>
      <w:r>
        <w:t xml:space="preserve"> </w:t>
      </w:r>
      <w:r>
        <w:t xml:space="preserve">mutual-information VAE on billion-scale SMILES and provides a strong no-diffusion baseline against which our latent-diffusion prior is compared.</w:t>
      </w:r>
    </w:p>
    <w:p>
      <w:pPr>
        <w:pStyle w:val="MDPI31text"/>
        <w:ind w:left="2608"/>
      </w:pPr>
      <w:r>
        <w:t xml:space="preserve">Language-modelling approaches treat SMILES directly as a string. REINVENT</w:t>
      </w:r>
      <w:r>
        <w:t xml:space="preserve"> </w:t>
      </w:r>
      <w:hyperlink w:anchor="ref-olivecrona2017reinvent">
        <w:r>
          <w:rPr>
            <w:rStyle w:val="Hyperlink"/>
          </w:rPr>
          <w:t xml:space="preserve">[13]</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[14]</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[15]</w:t>
        </w:r>
      </w:hyperlink>
      <w:r>
        <w:t xml:space="preserve"> </w:t>
      </w:r>
      <w:r>
        <w:t xml:space="preserve">combined an RNN prior with Monte-Carlo tree search; MolGPT</w:t>
      </w:r>
      <w:r>
        <w:t xml:space="preserve"> </w:t>
      </w:r>
      <w:hyperlink w:anchor="ref-bagal2022molgpt">
        <w:r>
          <w:rPr>
            <w:rStyle w:val="Hyperlink"/>
          </w:rPr>
          <w:t xml:space="preserve">[16]</w:t>
        </w:r>
      </w:hyperlink>
      <w:r>
        <w:t xml:space="preserve"> </w:t>
      </w:r>
      <w:r>
        <w:t xml:space="preserve">applied a GPT-style decoder with property tokens prepended for control. MoLFormer-XL</w:t>
      </w:r>
      <w:r>
        <w:t xml:space="preserve"> </w:t>
      </w:r>
      <w:hyperlink w:anchor="ref-ross2022molformer">
        <w:r>
          <w:rPr>
            <w:rStyle w:val="Hyperlink"/>
          </w:rPr>
          <w:t xml:space="preserve">[17]</w:t>
        </w:r>
      </w:hyperlink>
      <w:r>
        <w:t xml:space="preserve"> </w:t>
      </w:r>
      <w:r>
        <w:t xml:space="preserve">and Chemformer</w:t>
      </w:r>
      <w:r>
        <w:t xml:space="preserve"> </w:t>
      </w:r>
      <w:hyperlink w:anchor="ref-irwin2022chemformer">
        <w:r>
          <w:rPr>
            <w:rStyle w:val="Hyperlink"/>
          </w:rPr>
          <w:t xml:space="preserve">[18]</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[19]</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[20]</w:t>
        </w:r>
      </w:hyperlink>
      <w:r>
        <w:t xml:space="preserve"> </w:t>
      </w:r>
      <w:r>
        <w:t xml:space="preserve">performs discrete denoising diffusion directly on molecular graphs, achieving exact validity at the cost of having to re-introduce property conditioning via a separate guidance term.</w:t>
      </w:r>
    </w:p>
    <w:p>
      <w:pPr>
        <w:pStyle w:val="MDPI22heading2"/>
        <w:ind w:left="2608"/>
      </w:pPr>
      <w:r>
        <w:t xml:space="preserve">1.1.2 Diffusion models and classifier guidance</w:t>
      </w:r>
    </w:p>
    <w:p>
      <w:pPr>
        <w:pStyle w:val="MDPI32textnoindent"/>
        <w:ind w:left="2608"/>
      </w:pPr>
      <w:r>
        <w:t xml:space="preserve">Denoising diffusion probabilistic models</w:t>
      </w:r>
      <w:r>
        <w:t xml:space="preserve"> </w:t>
      </w:r>
      <w:hyperlink w:anchor="ref-ho2020ddpm">
        <w:r>
          <w:rPr>
            <w:rStyle w:val="Hyperlink"/>
          </w:rPr>
          <w:t xml:space="preserve">[21]</w:t>
        </w:r>
      </w:hyperlink>
      <w:r>
        <w:t xml:space="preserve"> </w:t>
      </w:r>
      <w:r>
        <w:t xml:space="preserve">and the score-based formulation of Song and Ermon</w:t>
      </w:r>
      <w:r>
        <w:t xml:space="preserve"> </w:t>
      </w:r>
      <w:hyperlink w:anchor="ref-song2019score">
        <w:r>
          <w:rPr>
            <w:rStyle w:val="Hyperlink"/>
          </w:rPr>
          <w:t xml:space="preserve">[22]</w:t>
        </w:r>
      </w:hyperlink>
      <w:r>
        <w:t xml:space="preserve">, later unified through a stochastic-differential-equation perspective</w:t>
      </w:r>
      <w:r>
        <w:t xml:space="preserve"> </w:t>
      </w:r>
      <w:hyperlink w:anchor="ref-song2021sde">
        <w:r>
          <w:rPr>
            <w:rStyle w:val="Hyperlink"/>
          </w:rPr>
          <w:t xml:space="preserve">[23]</w:t>
        </w:r>
      </w:hyperlink>
      <w:r>
        <w:t xml:space="preserve">, define the generative-modelling family that DGLD builds on. Latent diffusion</w:t>
      </w:r>
      <w:r>
        <w:t xml:space="preserve"> </w:t>
      </w:r>
      <w:hyperlink w:anchor="ref-rombach2022ldm">
        <w:r>
          <w:rPr>
            <w:rStyle w:val="Hyperlink"/>
          </w:rPr>
          <w:t xml:space="preserve">[24]</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MDPI31text"/>
        <w:ind w:left="2608"/>
      </w:pPr>
      <w:r>
        <w:t xml:space="preserve">For property control we adopt the classifier-free guidance scheme of Ho and Salimans</w:t>
      </w:r>
      <w:r>
        <w:t xml:space="preserve"> </w:t>
      </w:r>
      <w:hyperlink w:anchor="ref-ho2022cfg">
        <w:r>
          <w:rPr>
            <w:rStyle w:val="Hyperlink"/>
          </w:rPr>
          <w:t xml:space="preserve">[4]</w:t>
        </w:r>
      </w:hyperlink>
      <w:r>
        <w:t xml:space="preserve">, in which a single denoiser is trained jointly with and without the conditioning signal and the conditioning gradient is reconstructed at sample time: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MDPI32textnoindent"/>
        <w:ind w:left="2608"/>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[25]</w:t>
        </w:r>
      </w:hyperlink>
      <w:r>
        <w:t xml:space="preserve">. DGLD combines both regimes: classifier-free guidance over the four detonation targets, plus a small noise-conditional multi-task score model whose per-head gradients are added at every diffusion step (Section 4.10). Conditioning is injected into the residual blocks of the denoiser through FiLM-style affine feature-wise modulation</w:t>
      </w:r>
      <w:r>
        <w:t xml:space="preserve"> </w:t>
      </w:r>
      <w:hyperlink w:anchor="ref-perez2018film">
        <w:r>
          <w:rPr>
            <w:rStyle w:val="Hyperlink"/>
          </w:rPr>
          <w:t xml:space="preserve">[26]</w:t>
        </w:r>
      </w:hyperlink>
      <w:r>
        <w:t xml:space="preserve">, the standard mechanism for property conditioning in image and molecular diffusion alike.</w:t>
      </w:r>
    </w:p>
    <w:p>
      <w:pPr>
        <w:pStyle w:val="MDPI22heading2"/>
        <w:ind w:left="2608"/>
      </w:pPr>
      <w:r>
        <w:t xml:space="preserve">1.1.3 3D and target-conditioned molecular diffusion</w:t>
      </w:r>
    </w:p>
    <w:p>
      <w:pPr>
        <w:pStyle w:val="MDPI32textnoindent"/>
        <w:ind w:left="2608"/>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[27]</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[28]</w:t>
        </w:r>
      </w:hyperlink>
      <w:r>
        <w:t xml:space="preserve"> </w:t>
      </w:r>
      <w:r>
        <w:t xml:space="preserve">and TargetDiff</w:t>
      </w:r>
      <w:r>
        <w:t xml:space="preserve"> </w:t>
      </w:r>
      <w:hyperlink w:anchor="ref-guan2023targetdiff">
        <w:r>
          <w:rPr>
            <w:rStyle w:val="Hyperlink"/>
          </w:rPr>
          <w:t xml:space="preserve">[29]</w:t>
        </w:r>
      </w:hyperlink>
      <w:r>
        <w:t xml:space="preserve"> </w:t>
      </w:r>
      <w:r>
        <w:t xml:space="preserve">condition the diffusion process on a 3D protein pocket; Pocket2Mol</w:t>
      </w:r>
      <w:r>
        <w:t xml:space="preserve"> </w:t>
      </w:r>
      <w:hyperlink w:anchor="ref-peng2022pocket2mol">
        <w:r>
          <w:rPr>
            <w:rStyle w:val="Hyperlink"/>
          </w:rPr>
          <w:t xml:space="preserve">[30]</w:t>
        </w:r>
      </w:hyperlink>
      <w:r>
        <w:t xml:space="preserve"> </w:t>
      </w:r>
      <w:r>
        <w:t xml:space="preserve">samples atoms autoregressively inside the pocket; DiffDock</w:t>
      </w:r>
      <w:r>
        <w:t xml:space="preserve"> </w:t>
      </w:r>
      <w:hyperlink w:anchor="ref-corso2023diffdock">
        <w:r>
          <w:rPr>
            <w:rStyle w:val="Hyperlink"/>
          </w:rPr>
          <w:t xml:space="preserve">[31]</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[32]</w:t>
        </w:r>
      </w:hyperlink>
      <w:r>
        <w:t xml:space="preserve"> </w:t>
      </w:r>
      <w:r>
        <w:t xml:space="preserve">addresses the atom-bond inconsistency that arises when atom positions and bond types are diffused independently.</w:t>
      </w:r>
    </w:p>
    <w:p>
      <w:pPr>
        <w:pStyle w:val="MDPI31text"/>
        <w:ind w:left="2608"/>
      </w:pPr>
      <w:r>
        <w:t xml:space="preserve">GeoLDM (Xu et al.</w:t>
      </w:r>
      <w:r>
        <w:t xml:space="preserve"> </w:t>
      </w:r>
      <w:hyperlink w:anchor="ref-xu2023geoldm">
        <w:r>
          <w:rPr>
            <w:rStyle w:val="Hyperlink"/>
          </w:rPr>
          <w:t xml:space="preserve">[33]</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MDPI31text"/>
        <w:ind w:left="2608"/>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Section 4.</w:t>
      </w:r>
    </w:p>
    <w:p>
      <w:pPr>
        <w:pStyle w:val="MDPI22heading2"/>
        <w:ind w:left="2608"/>
      </w:pPr>
      <w:r>
        <w:t xml:space="preserve">1.1.4 Energetic-materials property prediction</w:t>
      </w:r>
    </w:p>
    <w:p>
      <w:pPr>
        <w:pStyle w:val="MDPI32textnoindent"/>
        <w:ind w:left="2608"/>
      </w:pPr>
      <w:r>
        <w:t xml:space="preserve">The Kamlet–Jacobs equations</w:t>
      </w:r>
      <w:r>
        <w:t xml:space="preserve"> </w:t>
      </w:r>
      <w:hyperlink w:anchor="ref-kamlet1968detonation">
        <w:r>
          <w:rPr>
            <w:rStyle w:val="Hyperlink"/>
          </w:rPr>
          <w:t xml:space="preserve">[1]</w:t>
        </w:r>
      </w:hyperlink>
      <w:r>
        <w:t xml:space="preserve"> </w:t>
      </w:r>
      <w:r>
        <w:t xml:space="preserve">remain the closed-form workhorse for fast detonation-property estimates of CHNO explosives and supply our Tier C labels; they are regime-limited and under-predict in the high-nitrogen tail (Section 2.3, Supplementary Section C). Casey et al.</w:t>
      </w:r>
      <w:r>
        <w:t xml:space="preserve"> </w:t>
      </w:r>
      <w:hyperlink w:anchor="ref-casey2020prediction">
        <w:r>
          <w:rPr>
            <w:rStyle w:val="Hyperlink"/>
          </w:rPr>
          <w:t xml:space="preserve">[2]</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[3]</w:t>
        </w:r>
      </w:hyperlink>
      <w:r>
        <w:t xml:space="preserve"> </w:t>
      </w:r>
      <w:r>
        <w:t xml:space="preserve">provides a 3D pre-training backbone whose representations transfer to organic property prediction and which the smoke-model ensemble (our in-house Uni-Mol detonation-property regression ensemble) draws on. Elton et al.</w:t>
      </w:r>
      <w:r>
        <w:t xml:space="preserve"> </w:t>
      </w:r>
      <w:hyperlink w:anchor="ref-elton2018applying">
        <w:r>
          <w:rPr>
            <w:rStyle w:val="Hyperlink"/>
          </w:rPr>
          <w:t xml:space="preserve">[34]</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Section 2.3,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[35]</w:t>
        </w:r>
      </w:hyperlink>
      <w:r>
        <w:t xml:space="preserve"> </w:t>
      </w:r>
      <w:r>
        <w:t xml:space="preserve">develop the bond-dissociation-energy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[36]</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[37]</w:t>
        </w:r>
      </w:hyperlink>
      <w:r>
        <w:t xml:space="preserve"> </w:t>
      </w:r>
      <w:r>
        <w:t xml:space="preserve">and Cheetah</w:t>
      </w:r>
      <w:r>
        <w:t xml:space="preserve"> </w:t>
      </w:r>
      <w:hyperlink w:anchor="ref-fried2014cheetah">
        <w:r>
          <w:rPr>
            <w:rStyle w:val="Hyperlink"/>
          </w:rPr>
          <w:t xml:space="preserve">[38]</w:t>
        </w:r>
      </w:hyperlink>
      <w:r>
        <w:t xml:space="preserve"> </w:t>
      </w:r>
      <w:r>
        <w:t xml:space="preserve">replace the closed-form K-J step with a thermochemical-equilibrium Chapman–Jouguet solver and a covolume equation of state (EOS), and remain the absolute-value-grade reference; we use K-J as the closed-form approximation and acknowledge the absolute-value gap explicitly (Section 2.3). The recent Choi et al. review</w:t>
      </w:r>
      <w:r>
        <w:t xml:space="preserve"> </w:t>
      </w:r>
      <w:hyperlink w:anchor="ref-choi2023prep">
        <w:r>
          <w:rPr>
            <w:rStyle w:val="Hyperlink"/>
          </w:rPr>
          <w:t xml:space="preserve">[39]</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[40]</w:t>
        </w:r>
      </w:hyperlink>
      <w:r>
        <w:t xml:space="preserve">) are complementary to our gas-phase Bondi-vdW</w:t>
      </w:r>
      <w:r>
        <w:t xml:space="preserve"> </w:t>
      </w:r>
      <w:hyperlink w:anchor="ref-bondi1964vdw">
        <w:r>
          <w:rPr>
            <w:rStyle w:val="Hyperlink"/>
          </w:rPr>
          <w:t xml:space="preserve">[41]</w:t>
        </w:r>
      </w:hyperlink>
      <w:r>
        <w:t xml:space="preserve"> </w:t>
      </w:r>
      <w:r>
        <w:t xml:space="preserve">+ 6-anchor-calibration recipe and would substitute cleanly for it once retrained on a polynitro-enriched corpus.</w:t>
      </w:r>
    </w:p>
    <w:p>
      <w:pPr>
        <w:pStyle w:val="MDPI31text"/>
        <w:ind w:left="2608"/>
      </w:pPr>
      <w:r>
        <w:t xml:space="preserve">Sensitivity prediction is the harder discriminative half of the field. Nefati, Cense and Legendre</w:t>
      </w:r>
      <w:r>
        <w:t xml:space="preserve"> </w:t>
      </w:r>
      <w:hyperlink w:anchor="ref-nefati1996ann">
        <w:r>
          <w:rPr>
            <w:rStyle w:val="Hyperlink"/>
          </w:rPr>
          <w:t xml:space="preserve">[42]</w:t>
        </w:r>
      </w:hyperlink>
      <w:r>
        <w:t xml:space="preserve"> </w:t>
      </w:r>
      <w:r>
        <w:t xml:space="preserve">trained an early neural network on impact-sensitivity data; Mathieu</w:t>
      </w:r>
      <w:r>
        <w:t xml:space="preserve"> </w:t>
      </w:r>
      <w:hyperlink w:anchor="ref-mathieu2017sensitivity">
        <w:r>
          <w:rPr>
            <w:rStyle w:val="Hyperlink"/>
          </w:rPr>
          <w:t xml:space="preserve">[36]</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[43]</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[44]</w:t>
        </w:r>
      </w:hyperlink>
      <w:r>
        <w:t xml:space="preserve"> </w:t>
      </w:r>
      <w:r>
        <w:t xml:space="preserve">codifies the qualitative fragment priors (nitrogen-rich heterocycles, nitramines, azides) on which our motif-augmented training set is built.</w:t>
      </w:r>
    </w:p>
    <w:p>
      <w:pPr>
        <w:pStyle w:val="MDPI22heading2"/>
        <w:ind w:left="2608"/>
      </w:pPr>
      <w:r>
        <w:t xml:space="preserve">1.1.5 Energetic-materials generative ML and synthesisability</w:t>
      </w:r>
    </w:p>
    <w:p>
      <w:pPr>
        <w:pStyle w:val="MDPI32textnoindent"/>
        <w:ind w:left="2608"/>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[45]</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[43]</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Section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[46]</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Section 4.1, which keeps the ~47k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Section 4.13. Where the two papers agree is on the headline finding that energetic-materials generation requires post-decode physics validation; where they differ is on whether the prior should be tilted toward the high-tail before that validation runs.</w:t>
      </w:r>
    </w:p>
    <w:p>
      <w:pPr>
        <w:pStyle w:val="MDPI22heading2"/>
        <w:ind w:left="2608"/>
      </w:pPr>
      <w:r>
        <w:t xml:space="preserve">1.1.6 General-purpose property predictors</w:t>
      </w:r>
    </w:p>
    <w:p>
      <w:pPr>
        <w:pStyle w:val="MDPI32textnoindent"/>
        <w:ind w:left="2608"/>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[47]</w:t>
        </w:r>
      </w:hyperlink>
      <w:r>
        <w:t xml:space="preserve"> </w:t>
      </w:r>
      <w:r>
        <w:t xml:space="preserve">remains a strong message-passing-graph default; SchNet</w:t>
      </w:r>
      <w:r>
        <w:t xml:space="preserve"> </w:t>
      </w:r>
      <w:hyperlink w:anchor="ref-schutt2018schnet">
        <w:r>
          <w:rPr>
            <w:rStyle w:val="Hyperlink"/>
          </w:rPr>
          <w:t xml:space="preserve">[48]</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[49]</w:t>
        </w:r>
      </w:hyperlink>
      <w:r>
        <w:t xml:space="preserve"> </w:t>
      </w:r>
      <w:r>
        <w:t xml:space="preserve">uses symmetry-adapted atomic-orbital features to predict quantum-chemical observables at semi-empirical cost. We do not use these networks directly: the smoke-model Uni-Mol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p>
      <w:pPr>
        <w:pStyle w:val="MDPI22heading2"/>
        <w:ind w:left="2608"/>
      </w:pPr>
      <w:r>
        <w:t xml:space="preserve">1.1.7 Distribution-learning benchmarks and synthesisability metrics</w:t>
      </w:r>
    </w:p>
    <w:p>
      <w:pPr>
        <w:pStyle w:val="MDPI32textnoindent"/>
        <w:ind w:left="2608"/>
      </w:pPr>
      <w:r>
        <w:t xml:space="preserve">The MOSES</w:t>
      </w:r>
      <w:r>
        <w:t xml:space="preserve"> </w:t>
      </w:r>
      <w:hyperlink w:anchor="ref-polykovskiy2020moses">
        <w:r>
          <w:rPr>
            <w:rStyle w:val="Hyperlink"/>
          </w:rPr>
          <w:t xml:space="preserve">[50]</w:t>
        </w:r>
      </w:hyperlink>
      <w:r>
        <w:t xml:space="preserve"> </w:t>
      </w:r>
      <w:r>
        <w:t xml:space="preserve">and GuacaMol</w:t>
      </w:r>
      <w:r>
        <w:t xml:space="preserve"> </w:t>
      </w:r>
      <w:hyperlink w:anchor="ref-brown2019guacamol">
        <w:r>
          <w:rPr>
            <w:rStyle w:val="Hyperlink"/>
          </w:rPr>
          <w:t xml:space="preserve">[51]</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[52]</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[53]</w:t>
        </w:r>
      </w:hyperlink>
      <w:r>
        <w:t xml:space="preserve">, with its enumerated GDB-13 and GDB-17 reference sets, bounds how much of small-molecule space remains untouched by generative models and contextualises any novelty claim. We adopt MOSES-style metrics in Supplementary Section D.11 and treat FCD as a chemistry-class-transfer signal rather than a within-domain quality metric, since the ChemNet feature extractor is trained on drug-like ZINC</w:t>
      </w:r>
      <w:r>
        <w:t xml:space="preserve"> </w:t>
      </w:r>
      <w:hyperlink w:anchor="ref-sterling2015zinc">
        <w:r>
          <w:rPr>
            <w:rStyle w:val="Hyperlink"/>
          </w:rPr>
          <w:t xml:space="preserve">[54]</w:t>
        </w:r>
      </w:hyperlink>
      <w:r>
        <w:t xml:space="preserve">+PubChem chemistry.</w:t>
      </w:r>
    </w:p>
    <w:p>
      <w:pPr>
        <w:pStyle w:val="MDPI31text"/>
        <w:ind w:left="2608"/>
      </w:pPr>
      <w:r>
        <w:t xml:space="preserve">Synthesisability is a separate concern. The SA score of Ertl and Schuffenhauer</w:t>
      </w:r>
      <w:r>
        <w:t xml:space="preserve"> </w:t>
      </w:r>
      <w:hyperlink w:anchor="ref-ertl2009sa">
        <w:r>
          <w:rPr>
            <w:rStyle w:val="Hyperlink"/>
          </w:rPr>
          <w:t xml:space="preserve">[55]</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[56]</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[57]</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p>
      <w:pPr>
        <w:pStyle w:val="MDPI22heading2"/>
        <w:ind w:left="2608"/>
      </w:pPr>
      <w:r>
        <w:t xml:space="preserve">1.1.8 Validation tooling</w:t>
      </w:r>
    </w:p>
    <w:p>
      <w:pPr>
        <w:pStyle w:val="MDPI32textnoindent"/>
        <w:ind w:left="2608"/>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[58]</w:t>
        </w:r>
      </w:hyperlink>
      <w:r>
        <w:t xml:space="preserve"> </w:t>
      </w:r>
      <w:r>
        <w:t xml:space="preserve">is the semi-empirical tight-binding method we use for sample-time HOMO–LUMO gap triage on top leads (Section 2.3, Supplementary Section C.12); it runs in seconds per molecule on CPU, is well-calibrated for organic CHNO, and provides a stability proxy that is independent of the Uni-Mol surrogate's training distribution. The gpu4pyscf bindings on top of the PySCF framework</w:t>
      </w:r>
      <w:r>
        <w:t xml:space="preserve"> </w:t>
      </w:r>
      <w:hyperlink w:anchor="ref-sun2020pyscf">
        <w:r>
          <w:rPr>
            <w:rStyle w:val="Hyperlink"/>
          </w:rPr>
          <w:t xml:space="preserve">[59]</w:t>
        </w:r>
      </w:hyperlink>
      <w:r>
        <w:t xml:space="preserve"> </w:t>
      </w:r>
      <w:r>
        <w:t xml:space="preserve">supply our DFT pipeline (Section 2.3, Supplementary Section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[60]</w:t>
        </w:r>
      </w:hyperlink>
      <w:r>
        <w:t xml:space="preserve"> </w:t>
      </w:r>
      <w:r>
        <w:t xml:space="preserve">performs the retrosynthetic plausibility check of Section 2.4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[61]</w:t>
        </w:r>
      </w:hyperlink>
      <w:r>
        <w:t xml:space="preserve">, which evaluates the density-functional zoo over a broad cross-section of main-group thermochemistry, kinetics and noncovalent interactions and grounds our choice of functional and basis.</w:t>
      </w:r>
    </w:p>
    <w:p>
      <w:pPr>
        <w:pStyle w:val="MDPI21heading1"/>
        <w:ind w:left="2608"/>
      </w:pPr>
      <w:r>
        <w:t xml:space="preserve">2. Results</w:t>
      </w:r>
    </w:p>
    <w:p>
      <w:pPr>
        <w:pStyle w:val="MDPI22heading2"/>
        <w:ind w:left="2608"/>
      </w:pPr>
      <w:r>
        <w:t xml:space="preserve">2.1 Roadmap and headline targets</w:t>
      </w:r>
    </w:p>
    <w:p>
      <w:pPr>
        <w:pStyle w:val="MDPI32textnoindent"/>
        <w:ind w:left="2608"/>
      </w:pPr>
      <w:r>
        <w:t xml:space="preserve">Section 2 is structured results-first: Section 2.2 reports the gated Pareto reranker top leads (Stages 1+2 of the validation chain); Section 2.3 reports physics validation (xTB triage and DFT confirmation, Stages 3+4); Section 2.4 combines novelty, retrosynthesis, and the E-set scaffold-diversity audit; Section 2.5 contrasts DGLD against no-diffusion baselines; Section 2.6 is the ablation summary. The four headline targets are</w:t>
      </w:r>
      <w:r>
        <w:t xml:space="preserve"> </w:t>
      </w:r>
      <m:oMath>
        <m:r>
          <m:t>ρ</m:t>
        </m:r>
        <m:r>
          <m:rPr>
            <m:sty m:val="p"/>
          </m:rPr>
          <m:t>≥</m:t>
        </m:r>
        <m:r>
          <m:t>1.85</m:t>
        </m:r>
      </m:oMath>
      <w:r>
        <w:t xml:space="preserve"> g cm</w:t>
      </w:r>
      <w:r>
        <w:rPr>
          <w:vertAlign w:val="superscript"/>
        </w:rPr>
        <w:t xml:space="preserve">−3</w:t>
      </w:r>
      <w:r>
        <w:t xml:space="preserve">,</w:t>
      </w:r>
      <w:r>
        <w:t xml:space="preserve"> </w:t>
      </w:r>
      <m:oMath>
        <m:r>
          <m:t>D</m:t>
        </m:r>
        <m:r>
          <m:rPr>
            <m:sty m:val="p"/>
          </m:rPr>
          <m:t>≥</m:t>
        </m:r>
        <m:r>
          <m:t>9.0</m:t>
        </m:r>
      </m:oMath>
      <w:r>
        <w:t xml:space="preserve"> km s</w:t>
      </w:r>
      <w:r>
        <w:rPr>
          <w:vertAlign w:val="superscript"/>
        </w:rPr>
        <w:t xml:space="preserve">−1</w:t>
      </w:r>
      <w:r>
        <w:t xml:space="preserve">,</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Section 4.13 (Figure 21). Hyperparameters and the production configuration (CFG=7, pool</w:t>
      </w:r>
      <w:r>
        <w:t xml:space="preserve"> </w:t>
      </w:r>
      <m:oMath>
        <m:r>
          <m:rPr>
            <m:sty m:val="p"/>
          </m:rPr>
          <m:t>≥</m:t>
        </m:r>
      </m:oMath>
      <w:r>
        <w:t xml:space="preserve"> </w:t>
      </w:r>
      <w:r>
        <w:t xml:space="preserve">40k per denoiser, alpha-anneal disabled) are documented in Section 4.15 and Supplementary Section B.5 (Table S5) and are not re-derived here.</w:t>
      </w:r>
    </w:p>
    <w:p>
      <w:pPr>
        <w:pStyle w:val="MDPI22heading2"/>
        <w:ind w:left="2608"/>
      </w:pPr>
      <w:r>
        <w:t xml:space="preserve">2.2 Top leads from the gated Pareto reranker (Stages 1+2)</w:t>
      </w:r>
    </w:p>
    <w:p>
      <w:pPr>
        <w:pStyle w:val="MDPI32textnoindent"/>
        <w:ind w:left="2608"/>
      </w:pPr>
      <w:r>
        <w:t xml:space="preserve">Applying Section 4.13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(Figure 4). The top-five Pareto leads are shown in Figure 3.</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Supplementary Section D.10).</w:t>
      </w:r>
    </w:p>
    <w:p xmlns:a="http://schemas.openxmlformats.org/drawingml/2006/main" xmlns:pic="http://schemas.openxmlformats.org/drawingml/2006/picture">
      <w:pPr>
        <w:pStyle w:val="MDPI52figure"/>
        <w:ind w:left="2608"/>
        <w:jc w:val="center"/>
      </w:pPr>
      <w:r>
        <w:drawing>
          <wp:inline>
            <wp:extent cx="4989830" cy="4250711"/>
            <wp:effectExtent b="0" l="0" r="0" t="0"/>
            <wp:docPr descr="Twelve DGLD lead cards in a 3-by-4 grid" title="" id="28" name="Picture"/>
            <a:graphic>
              <a:graphicData uri="http://schemas.openxmlformats.org/drawingml/2006/picture">
                <pic:pic>
                  <pic:nvPicPr>
                    <pic:cNvPr descr="../figs/fig_lead_cards_grid.png" id="29" name="Picture"/>
                    <pic:cNvPicPr>
                      <a:picLocks noChangeArrowheads="1" noChangeAspect="1"/>
                    </pic:cNvPicPr>
                  </pic:nvPicPr>
                  <pic:blipFill>
                    <a:blip r:embed="rId20"/>
                    <a:stretch>
                      <a:fillRect/>
                    </a:stretch>
                  </pic:blipFill>
                  <pic:spPr bwMode="auto">
                    <a:xfrm>
                      <a:off x="0" y="0"/>
                      <a:ext cx="4989830" cy="4250711"/>
                    </a:xfrm>
                    <a:prstGeom prst="rect">
                      <a:avLst/>
                    </a:prstGeom>
                    <a:noFill/>
                    <a:ln w="9525">
                      <a:noFill/>
                      <a:headEnd/>
                      <a:tailEnd/>
                    </a:ln>
                  </pic:spPr>
                </pic:pic>
              </a:graphicData>
            </a:graphic>
          </wp:inline>
        </w:drawing>
      </w:r>
    </w:p>
    <w:p>
      <w:pPr>
        <w:pStyle w:val="MDPI51figurecaption"/>
        <w:ind w:left="2608"/>
      </w:pPr>
      <w:r>
        <w:rPr>
          <w:b/>
          <w:bCs/>
        </w:rPr>
        <w:t xml:space="preserve">Figure 3.</w:t>
      </w:r>
      <w:r>
        <w:t xml:space="preserve"> </w:t>
      </w:r>
      <w:r>
        <w:t xml:space="preserve">Twelve chem-pass DGLD leads (L1–L5, L9, L11, L13, L16, L18, L19, L20). Each card shows the RDKit 2D depiction, chemotype label, molecular formula, and 6-anchor-calibrated DFT/Kamlet–Jacobs (</w:t>
      </w:r>
      <m:oMath>
        <m:r>
          <m:t>ρ</m:t>
        </m:r>
      </m:oMath>
      <w:r>
        <w:t xml:space="preserve">,</w:t>
      </w:r>
      <w:r>
        <w:t xml:space="preserve"> </w:t>
      </w:r>
      <m:oMath>
        <m:r>
          <m:t>D</m:t>
        </m:r>
      </m:oMath>
      <w:r>
        <w:t xml:space="preserve">,</w:t>
      </w:r>
      <w:r>
        <w:t xml:space="preserve"> </w:t>
      </w:r>
      <m:oMath>
        <m:r>
          <m:t>P</m:t>
        </m:r>
      </m:oMath>
      <w:r>
        <w:t xml:space="preserve">) values. The dark circle (top-left) shows the Pareto rank within the merged top-100; “?” indicates a lead (L20) added from the pool=80k extension set and not assigned a top-100 rank. Top-5 leads (L1–L5) additionally show composite score</w:t>
      </w:r>
      <w:r>
        <w:t xml:space="preserve"> </w:t>
      </w:r>
      <m:oMath>
        <m:r>
          <m:t>S</m:t>
        </m:r>
      </m:oMath>
      <w:r>
        <w:t xml:space="preserve"> </w:t>
      </w:r>
      <w:r>
        <w:t xml:space="preserve">and drop-weight impact sensitivity</w:t>
      </w:r>
      <w:r>
        <w:t xml:space="preserve"> </w:t>
      </w:r>
      <m:oMath>
        <m:sSub>
          <m:e>
            <m:r>
              <m:t>h</m:t>
            </m:r>
          </m:e>
          <m:sub>
            <m:r>
              <m:t>50</m:t>
            </m:r>
          </m:sub>
        </m:sSub>
      </m:oMath>
      <w:r>
        <w:t xml:space="preserve">. Border colour: green = xTB HOMO–LUMO gap</w:t>
      </w:r>
      <w:r>
        <w:t xml:space="preserve"> </w:t>
      </w:r>
      <m:oMath>
        <m:r>
          <m:rPr>
            <m:sty m:val="p"/>
          </m:rPr>
          <m:t>≥</m:t>
        </m:r>
        <m:r>
          <m:t>1.5</m:t>
        </m:r>
      </m:oMath>
      <w:r>
        <w:t xml:space="preserve"> eV (electronic-stability pass); red = gap</w:t>
      </w:r>
      <w:r>
        <w:t xml:space="preserve"> </w:t>
      </w:r>
      <m:oMath>
        <m:r>
          <m:rPr>
            <m:sty m:val="p"/>
          </m:rPr>
          <m:t>&lt;</m:t>
        </m:r>
        <m:r>
          <m:t>1.5</m:t>
        </m:r>
      </m:oMath>
      <w:r>
        <w:t xml:space="preserve"> eV (electronic-stability fail).</w:t>
      </w:r>
    </w:p>
    <w:p>
      <w:pPr>
        <w:pStyle w:val="MDPI31text"/>
        <w:ind w:left="2608"/>
      </w:pPr>
      <w:r>
        <w:t xml:space="preserve">The top-five leads (Figure 3, L1–L5) have viability 0.83–1.00, MW between 147 and 233 Da, and oxygen balance within ±15 %. Lead L1 is the aromatic trinitro-1,2-isoxazole, predicted at</w:t>
      </w:r>
      <w:r>
        <w:t xml:space="preserve"> </w:t>
      </w:r>
      <m:oMath>
        <m:r>
          <m:t>ρ</m:t>
        </m:r>
        <m:r>
          <m:rPr>
            <m:sty m:val="p"/>
          </m:rPr>
          <m:t>=</m:t>
        </m:r>
        <m:r>
          <m:t>2.00</m:t>
        </m:r>
      </m:oMath>
      <w:r>
        <w:t xml:space="preserve"> </w:t>
      </w:r>
      <w:r>
        <w:t xml:space="preserve">g cm</w:t>
      </w:r>
      <w:r>
        <w:rPr>
          <w:vertAlign w:val="superscript"/>
        </w:rPr>
        <w:t xml:space="preserve">−3</w:t>
      </w:r>
      <w:r>
        <w:t xml:space="preserve">,</w:t>
      </w:r>
      <w:r>
        <w:t xml:space="preserve"> </w:t>
      </w:r>
      <m:oMath>
        <m:r>
          <m:t>D</m:t>
        </m:r>
        <m:r>
          <m:rPr>
            <m:sty m:val="p"/>
          </m:rPr>
          <m:t>=</m:t>
        </m:r>
        <m:r>
          <m:t>9.56</m:t>
        </m:r>
      </m:oMath>
      <w:r>
        <w:t xml:space="preserve"> </w:t>
      </w:r>
      <w:r>
        <w:t xml:space="preserve">km s</w:t>
      </w:r>
      <w:r>
        <w:rPr>
          <w:vertAlign w:val="superscript"/>
        </w:rPr>
        <w:t xml:space="preserve">−1</w:t>
      </w:r>
      <w:r>
        <w:t xml:space="preserve">,</w:t>
      </w:r>
      <w:r>
        <w:t xml:space="preserve"> </w:t>
      </w:r>
      <m:oMath>
        <m:r>
          <m:t>P</m:t>
        </m:r>
        <m:r>
          <m:rPr>
            <m:sty m:val="p"/>
          </m:rPr>
          <m:t>=</m:t>
        </m:r>
        <m:r>
          <m:t>40.5</m:t>
        </m:r>
      </m:oMath>
      <w:r>
        <w:t xml:space="preserve"> </w:t>
      </w:r>
      <w:r>
        <w:t xml:space="preserve">GPa on the Uni-Mol surrogate; its 6-anchor-calibrated Kamlet–Jacobs</w:t>
      </w:r>
      <w:r>
        <w:t xml:space="preserve"> </w:t>
      </w:r>
      <m:oMath>
        <m:r>
          <m:t>D</m:t>
        </m:r>
        <m:r>
          <m:rPr>
            <m:sty m:val="p"/>
          </m:rPr>
          <m:t>=</m:t>
        </m:r>
        <m:r>
          <m:t>8.25</m:t>
        </m:r>
      </m:oMath>
      <w:r>
        <w:t xml:space="preserve"> </w:t>
      </w:r>
      <w:r>
        <w:t xml:space="preserve">km s</w:t>
      </w:r>
      <w:r>
        <w:rPr>
          <w:vertAlign w:val="superscript"/>
        </w:rPr>
        <w:t xml:space="preserve">−1</w:t>
      </w:r>
      <w:r>
        <w:t xml:space="preserve"> </w:t>
      </w:r>
      <w:r>
        <w:t xml:space="preserve">ranks with the calibrated HMX (7.52 km s</w:t>
      </w:r>
      <w:r>
        <w:rPr>
          <w:vertAlign w:val="superscript"/>
        </w:rPr>
        <w:t xml:space="preserve">−1</w:t>
      </w:r>
      <w:r>
        <w:t xml:space="preserve">) and PETN (8.24 km s</w:t>
      </w:r>
      <w:r>
        <w:rPr>
          <w:vertAlign w:val="superscript"/>
        </w:rPr>
        <w:t xml:space="preserve">−1</w:t>
      </w:r>
      <w:r>
        <w:t xml:space="preserve">) anchors (Section 2.3).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(Figure 4); the top-200 survivors populate the high-detonation corner of the</w:t>
      </w:r>
      <w:r>
        <w:t xml:space="preserve"> </w:t>
      </w:r>
      <m:oMath>
        <m:r>
          <m:rPr>
            <m:sty m:val="p"/>
          </m:rPr>
          <m:t>(</m:t>
        </m:r>
        <m:r>
          <m:t>D</m:t>
        </m:r>
        <m:r>
          <m:rPr>
            <m:sty m:val="p"/>
          </m:rPr>
          <m:t>,</m:t>
        </m:r>
        <m:r>
          <m:t>P</m:t>
        </m:r>
        <m:r>
          <m:rPr>
            <m:sty m:val="p"/>
          </m:rPr>
          <m:t>)</m:t>
        </m:r>
      </m:oMath>
      <w:r>
        <w:t xml:space="preserve"> </w:t>
      </w:r>
      <w:r>
        <w:t xml:space="preserve">plane (Figure 2). Unguided single-objective ranking (without the gating layer) puts a polynitro-on-C2 model-cheat at the top; the gates correctly reject it (full SMARTS-trace and rejected-candidate property tabulation in Supplementary Section D.7).</w:t>
      </w:r>
    </w:p>
    <w:p xmlns:a="http://schemas.openxmlformats.org/drawingml/2006/main" xmlns:pic="http://schemas.openxmlformats.org/drawingml/2006/picture">
      <w:pPr>
        <w:pStyle w:val="MDPI52figure"/>
        <w:ind w:left="2608"/>
        <w:jc w:val="center"/>
      </w:pPr>
      <w:r>
        <w:drawing>
          <wp:inline>
            <wp:extent cx="4989830" cy="3348568"/>
            <wp:effectExtent b="0" l="0" r="0" t="0"/>
            <wp:docPr descr="Pareto front of the gated reranker" title="" id="32" name="Picture"/>
            <a:graphic>
              <a:graphicData uri="http://schemas.openxmlformats.org/drawingml/2006/picture">
                <pic:pic>
                  <pic:nvPicPr>
                    <pic:cNvPr descr="../figs/fig6_pareto_v2.png" id="33" name="Picture"/>
                    <pic:cNvPicPr>
                      <a:picLocks noChangeArrowheads="1" noChangeAspect="1"/>
                    </pic:cNvPicPr>
                  </pic:nvPicPr>
                  <pic:blipFill>
                    <a:blip r:embed="rId21"/>
                    <a:stretch>
                      <a:fillRect/>
                    </a:stretch>
                  </pic:blipFill>
                  <pic:spPr bwMode="auto">
                    <a:xfrm>
                      <a:off x="0" y="0"/>
                      <a:ext cx="4989830" cy="3348568"/>
                    </a:xfrm>
                    <a:prstGeom prst="rect">
                      <a:avLst/>
                    </a:prstGeom>
                    <a:noFill/>
                    <a:ln w="9525">
                      <a:noFill/>
                      <a:headEnd/>
                      <a:tailEnd/>
                    </a:ln>
                  </pic:spPr>
                </pic:pic>
              </a:graphicData>
            </a:graphic>
          </wp:inline>
        </w:drawing>
      </w:r>
    </w:p>
    <w:p>
      <w:pPr>
        <w:pStyle w:val="MDPI51figurecaption"/>
        <w:ind w:left="2608"/>
      </w:pPr>
      <w:r>
        <w:rPr>
          <w:b/>
          <w:bCs/>
        </w:rPr>
        <w:t xml:space="preserve">Figure 4.</w:t>
      </w:r>
      <w:r>
        <w:t xml:space="preserve"> </w:t>
      </w:r>
      <w:r>
        <w:t xml:space="preserve">Filtered candidates (post hard-gate): saturating-performance score (x) vs. viability classifier output (y), coloured by sensitivity proxy. Stars mark the Pareto front.</w:t>
      </w:r>
    </w:p>
    <w:p>
      <w:pPr>
        <w:pStyle w:val="MDPI22heading2"/>
        <w:ind w:left="2608"/>
      </w:pPr>
      <w:r>
        <w:t xml:space="preserve">2.3 Physics validation and DFT confirmation (Stages 3+4)</w:t>
      </w:r>
    </w:p>
    <w:p>
      <w:pPr>
        <w:pStyle w:val="MDPI32textnoindent"/>
        <w:ind w:left="2608"/>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Section 3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Supplementary Section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yields the more physically-credible final set, which is the production configuration.</w:t>
      </w:r>
    </w:p>
    <w:p>
      <w:pPr>
        <w:pStyle w:val="MDPI31text"/>
        <w:ind w:left="2608"/>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12 chem-pass leads alongside two anchors (RDX, TATB) using GPU4PySCF (density from Bondi van-der-Waals integration with packing 0.69).</w:t>
      </w:r>
      <w:r>
        <w:t xml:space="preserve"> </w:t>
      </w:r>
      <w:r>
        <w:rPr>
          <w:b/>
          <w:bCs/>
        </w:rPr>
        <w:t xml:space="preserve">All twelve chem-pass leads + two anchors are real local minima</w:t>
      </w:r>
      <w:r>
        <w:t xml:space="preserve"> </w:t>
      </w:r>
      <w:r>
        <w:t xml:space="preserve">(no imaginary frequencies; min real modes 6.8–52 cm</w:t>
      </w:r>
      <w:r>
        <w:rPr>
          <w:vertAlign w:val="superscript"/>
        </w:rPr>
        <w:t xml:space="preserve">−1</w:t>
      </w:r>
      <w:r>
        <w:t xml:space="preserve">, with near-zero soft-torsion modes in L9 and L20); three SMARTS-rejected reference scaffolds (R2, R3, R14) optimised under the same protocol are in Supplementary Section C.5. The candidates that do not advance to Stage 4 are accounted for in Supplementary Section C.5 (45 removed at the Stage-2 hard filters; 28 fail K-J/imaginary-frequency/composition gates).</w:t>
      </w:r>
    </w:p>
    <w:p>
      <w:pPr>
        <w:pStyle w:val="MDPI31text"/>
        <w:ind w:left="2608"/>
      </w:pPr>
      <w:r>
        <w:rPr>
          <w:b/>
          <w:bCs/>
        </w:rPr>
        <w:t xml:space="preserve">6-anchor calibration (Table 1).</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with leave-one-out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(full intercept derivation in Supplementary Section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 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 mol</w:t>
      </w:r>
      <w:r>
        <w:rPr>
          <w:vertAlign w:val="superscript"/>
        </w:rPr>
        <w:t xml:space="preserve">−1</w:t>
      </w:r>
      <w:r>
        <w:t xml:space="preserve"> </w:t>
      </w:r>
      <w:r>
        <w:t xml:space="preserve">calibrates to</w:t>
      </w:r>
      <w:r>
        <w:t xml:space="preserve"> </w:t>
      </w:r>
      <m:oMath>
        <m:r>
          <m:rPr>
            <m:sty m:val="p"/>
          </m:rPr>
          <m:t>+</m:t>
        </m:r>
        <m:r>
          <m:t>22.9</m:t>
        </m:r>
      </m:oMath>
      <w:r>
        <w:t xml:space="preserve"> kJ mol</w:t>
      </w:r>
      <w:r>
        <w:rPr>
          <w:vertAlign w:val="superscript"/>
        </w:rPr>
        <w:t xml:space="preserve">−1</w:t>
      </w:r>
      <w:r>
        <w:t xml:space="preserve">.</w:t>
      </w:r>
    </w:p>
    <w:p>
      <w:pPr>
        <w:pStyle w:val="MDPI31text"/>
        <w:ind w:left="2608"/>
      </w:pPr>
      <w:r>
        <w:rPr>
          <w:b/>
          <w:bCs/>
        </w:rPr>
        <w:t xml:space="preserve">Kamlet–Jacobs recompute and headline corroboration.</w:t>
      </w:r>
      <w:r>
        <w:t xml:space="preserve"> </w:t>
      </w:r>
      <w:r>
        <w:t xml:space="preserve">Two K-J applications appear: (i) per-lead calibrated branch (Table 2):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S12):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 s</w:t>
      </w:r>
      <w:r>
        <w:rPr>
          <w:vertAlign w:val="superscript"/>
        </w:rPr>
        <w:t xml:space="preserve">−1</w:t>
      </w:r>
      <w:r>
        <w:t xml:space="preserve"> </w:t>
      </w:r>
      <w:r>
        <w:t xml:space="preserve">across the 12 chem-pass leads (Figure 5).</w:t>
      </w:r>
      <w:r>
        <w:t xml:space="preserve"> </w:t>
      </w:r>
      <w:r>
        <w:rPr>
          <w:b/>
          <w:bCs/>
        </w:rPr>
        <w:t xml:space="preserve">L1 calibrated K-J</w:t>
      </w:r>
      <w:r>
        <w:rPr>
          <w:b/>
          <w:bCs/>
        </w:rPr>
        <w:t xml:space="preserve"> </w:t>
      </w:r>
      <m:oMath>
        <m:r>
          <m:t>D</m:t>
        </m:r>
        <m:r>
          <m:rPr>
            <m:sty m:val="p"/>
          </m:rPr>
          <m:t>=</m:t>
        </m:r>
        <m:r>
          <m:t>8.25</m:t>
        </m:r>
      </m:oMath>
      <w:r>
        <w:rPr>
          <w:b/>
          <w:bCs/>
        </w:rPr>
        <w:t xml:space="preserve"> km s</w:t>
      </w:r>
      <w:r>
        <w:rPr>
          <w:b/>
          <w:bCs/>
          <w:vertAlign w:val="superscript"/>
        </w:rPr>
        <w:t xml:space="preserve">−1</w:t>
      </w:r>
      <w:r>
        <w:rPr>
          <w:b/>
          <w:bCs/>
        </w:rPr>
        <w:t xml:space="preserve">; the 1.31 km s</w:t>
      </w:r>
      <w:r>
        <w:rPr>
          <w:b/>
          <w:bCs/>
          <w:vertAlign w:val="superscript"/>
        </w:rPr>
        <w:t xml:space="preserve">−1</w:t>
      </w:r>
      <w:r>
        <w:rPr>
          <w:b/>
          <w:bCs/>
        </w:rPr>
        <w:t xml:space="preserve"> </w:t>
      </w:r>
      <w:r>
        <w:rPr>
          <w:b/>
          <w:bCs/>
        </w:rPr>
        <w:t xml:space="preserve">residual to the Uni-Mol surrogate (9.56 km s</w:t>
      </w:r>
      <w:r>
        <w:rPr>
          <w:b/>
          <w:bCs/>
          <w:vertAlign w:val="superscript"/>
        </w:rPr>
        <w:t xml:space="preserve">−1</w:t>
      </w:r>
      <w:r>
        <w:rPr>
          <w:b/>
          <w:bCs/>
        </w:rPr>
        <w:t xml:space="preserve">)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 s</w:t>
      </w:r>
      <w:r>
        <w:rPr>
          <w:vertAlign w:val="superscript"/>
        </w:rPr>
        <w:t xml:space="preserve">−1</w:t>
      </w:r>
      <w:r>
        <w:t xml:space="preserve"> </w:t>
      </w:r>
      <w:r>
        <w:t xml:space="preserve">gap is therefore plausibly Uni-Mol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(Section 3).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Supplementary Section C.6–C.7. An independent Cantera ideal-gas CJ recompute ranks L1, L4, L5 as RDX-class; absolute</w:t>
      </w:r>
      <w:r>
        <w:t xml:space="preserve"> </w:t>
      </w:r>
      <m:oMath>
        <m:r>
          <m:t>D</m:t>
        </m:r>
      </m:oMath>
      <w:r>
        <w:t xml:space="preserve"> </w:t>
      </w:r>
      <w:r>
        <w:t xml:space="preserve">values require BKW/JCZ3 covolume corrections (Section 3), full discussion in Supplementary Section C.13.</w:t>
      </w:r>
    </w:p>
    <w:p xmlns:a="http://schemas.openxmlformats.org/drawingml/2006/main" xmlns:pic="http://schemas.openxmlformats.org/drawingml/2006/picture">
      <w:pPr>
        <w:pStyle w:val="MDPI52figure"/>
        <w:ind w:left="2608"/>
        <w:jc w:val="center"/>
      </w:pPr>
      <w:r>
        <w:drawing>
          <wp:inline>
            <wp:extent cx="4989830" cy="2239185"/>
            <wp:effectExtent b="0" l="0" r="0" t="0"/>
            <wp:docPr descr="DFT dumbbell + N-fraction residual scatter" title="" id="36" name="Picture"/>
            <a:graphic>
              <a:graphicData uri="http://schemas.openxmlformats.org/drawingml/2006/picture">
                <pic:pic>
                  <pic:nvPicPr>
                    <pic:cNvPr descr="../figs/fig_dft_dumbbell.png" id="37" name="Picture"/>
                    <pic:cNvPicPr>
                      <a:picLocks noChangeArrowheads="1" noChangeAspect="1"/>
                    </pic:cNvPicPr>
                  </pic:nvPicPr>
                  <pic:blipFill>
                    <a:blip r:embed="rId22"/>
                    <a:stretch>
                      <a:fillRect/>
                    </a:stretch>
                  </pic:blipFill>
                  <pic:spPr bwMode="auto">
                    <a:xfrm>
                      <a:off x="0" y="0"/>
                      <a:ext cx="4989830" cy="2239185"/>
                    </a:xfrm>
                    <a:prstGeom prst="rect">
                      <a:avLst/>
                    </a:prstGeom>
                    <a:noFill/>
                    <a:ln w="9525">
                      <a:noFill/>
                      <a:headEnd/>
                      <a:tailEnd/>
                    </a:ln>
                  </pic:spPr>
                </pic:pic>
              </a:graphicData>
            </a:graphic>
          </wp:inline>
        </w:drawing>
      </w:r>
    </w:p>
    <w:p>
      <w:pPr>
        <w:pStyle w:val="MDPI51figurecaption"/>
        <w:ind w:left="2608"/>
      </w:pPr>
      <w:r>
        <w:rPr>
          <w:b/>
          <w:bCs/>
        </w:rPr>
        <w:t xml:space="preserve">Figure 5.</w:t>
      </w:r>
      <w:r>
        <w:t xml:space="preserve"> </w:t>
      </w:r>
      <w:r>
        <w:t xml:space="preserve">Left: dumbbell plot connecting Uni-Mol-predicted</w:t>
      </w:r>
      <w:r>
        <w:t xml:space="preserve"> </w:t>
      </w:r>
      <m:oMath>
        <m:r>
          <m:t>D</m:t>
        </m:r>
      </m:oMath>
      <w:r>
        <w:t xml:space="preserve"> </w:t>
      </w:r>
      <w:r>
        <w:t xml:space="preserve">(blue) to anchor-calibrated DFT–K-J</w:t>
      </w:r>
      <w:r>
        <w:t xml:space="preserve"> </w:t>
      </w:r>
      <m:oMath>
        <m:r>
          <m:t>D</m:t>
        </m:r>
      </m:oMath>
      <w:r>
        <w:t xml:space="preserve"> </w:t>
      </w:r>
      <w:r>
        <w:t xml:space="preserve">(orange) for each DFT-converged lead; dotted green line is the HMX-class 9.0 km s</w:t>
      </w:r>
      <w:r>
        <w:rPr>
          <w:vertAlign w:val="superscript"/>
        </w:rPr>
        <w:t xml:space="preserve">−1</w:t>
      </w:r>
      <w:r>
        <w:t xml:space="preserve"> </w:t>
      </w:r>
      <w:r>
        <w:t xml:space="preserve">threshold. Right: residual vs N-fraction with linear fit and Pearson</w:t>
      </w:r>
      <w:r>
        <w:t xml:space="preserve"> </w:t>
      </w:r>
      <m:oMath>
        <m:r>
          <m:t>r</m:t>
        </m:r>
      </m:oMath>
      <w:r>
        <w:t xml:space="preserve"> </w:t>
      </w:r>
      <w:r>
        <w:t xml:space="preserve">(575-row Tier-A pool, see Table S12).</w:t>
      </w:r>
    </w:p>
    <w:p>
      <w:pPr>
        <w:pStyle w:val="MDPI31text"/>
        <w:ind w:left="2608"/>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(Supplementary Section D.12).</w:t>
      </w:r>
    </w:p>
    <w:p>
      <w:pPr>
        <w:pStyle w:val="MDPI41tablecaption"/>
        <w:ind w:left="2608"/>
      </w:pPr>
      <w:r>
        <w:rPr>
          <w:b/>
          <w:bCs/>
        </w:rPr>
        <w:t xml:space="preserve">Table 1.</w:t>
      </w:r>
      <w:r>
        <w:t xml:space="preserve"> </w:t>
      </w:r>
      <w:r>
        <w:t xml:space="preserve">6-anchor DFT calibration (RDX, TATB, HMX, PETN, FOX-7, NTO). Linear corrections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LOO RMS</w:t>
      </w:r>
      <w:r>
        <w:t xml:space="preserve"> </w:t>
      </w:r>
      <m:oMath>
        <m:r>
          <m:rPr>
            <m:sty m:val="p"/>
          </m:rPr>
          <m:t>±</m:t>
        </m:r>
        <m:r>
          <m:t>0.078</m:t>
        </m:r>
      </m:oMath>
      <w:r>
        <w:t xml:space="preserve"> g cm</w:t>
      </w:r>
      <w:r>
        <w:rPr>
          <w:vertAlign w:val="superscript"/>
        </w:rPr>
        <w:t xml:space="preserve">−3</w:t>
      </w:r>
      <w:r>
        <w:t xml:space="preserve"> </w:t>
      </w:r>
      <w:r>
        <w:t xml:space="preserve">and</w:t>
      </w:r>
      <w:r>
        <w:t xml:space="preserve"> </w:t>
      </w:r>
      <m:oMath>
        <m:r>
          <m:rPr>
            <m:sty m:val="p"/>
          </m:rPr>
          <m:t>±</m:t>
        </m:r>
        <m:r>
          <m:t>64.6</m:t>
        </m:r>
      </m:oMath>
      <w:r>
        <w:t xml:space="preserve"> kJ mol</w:t>
      </w:r>
      <w:r>
        <w:rPr>
          <w:vertAlign w:val="superscript"/>
        </w:rPr>
        <w:t xml:space="preserve">−1</w:t>
      </w:r>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73"/>
        <w:gridCol w:w="983"/>
        <w:gridCol w:w="6002"/>
      </w:tblGrid>
      <w:tr>
        <w:trPr>
          <w:tblHeader w:val="on"/>
        </w:trPr>
        <w:tc>
          <w:tcPr>
            <w:tcBorders>
              <w:bottom w:val="single" w:sz="8" w:space="0" w:color="auto"/>
            </w:tcBorders>
            <w:vAlign w:val="center"/>
          </w:tcPr>
          <w:p>
            <w:pPr>
              <w:pStyle w:val="Compact"/>
              <w:suppressAutoHyphens/>
              <w:jc w:val="center"/>
            </w:pPr>
            <w:r>
              <w:rPr>
                <w:b/>
                <w:sz w:val="18"/>
                <w:szCs w:val="18"/>
              </w:rPr>
              <w:t xml:space="preserve">Anchor</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nor/>
                      <m:sty m:val="p"/>
                    </m:rPr>
                    <m:t>exp</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nor/>
                      <m:sty m:val="p"/>
                    </m:rPr>
                    <m:t>exp</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1.82</w:t>
            </w:r>
          </w:p>
        </w:tc>
        <w:tc>
          <w:tcPr>
            <w:vAlign w:val="center"/>
          </w:tcPr>
          <w:p>
            <w:pPr>
              <w:pStyle w:val="Compact"/>
              <w:suppressAutoHyphens/>
              <w:jc w:val="center"/>
            </w:pPr>
            <w:r>
              <w:rPr>
                <w:sz w:val="18"/>
                <w:szCs w:val="18"/>
              </w:rPr>
              <w:t xml:space="preserve">+70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1.94</w:t>
            </w:r>
          </w:p>
        </w:tc>
        <w:tc>
          <w:tcPr>
            <w:vAlign w:val="center"/>
          </w:tcPr>
          <w:p>
            <w:pPr>
              <w:pStyle w:val="Compact"/>
              <w:suppressAutoHyphens/>
              <w:jc w:val="center"/>
            </w:pPr>
            <w:r>
              <w:rPr>
                <w:sz w:val="18"/>
                <w:szCs w:val="18"/>
              </w:rPr>
              <w:t xml:space="preserve">−141</w:t>
            </w:r>
          </w:p>
        </w:tc>
      </w:tr>
      <w:tr>
        <w:tc>
          <w:tcPr>
            <w:vAlign w:val="center"/>
          </w:tcPr>
          <w:p>
            <w:pPr>
              <w:pStyle w:val="Compact"/>
              <w:suppressAutoHyphens/>
              <w:jc w:val="center"/>
            </w:pPr>
            <w:r>
              <w:rPr>
                <w:sz w:val="18"/>
                <w:szCs w:val="18"/>
              </w:rPr>
              <w:t xml:space="preserve">HMX</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sz w:val="18"/>
                <w:szCs w:val="18"/>
              </w:rPr>
              <w:t xml:space="preserve">PETN</w:t>
            </w:r>
          </w:p>
        </w:tc>
        <w:tc>
          <w:tcPr>
            <w:vAlign w:val="center"/>
          </w:tcPr>
          <w:p>
            <w:pPr>
              <w:pStyle w:val="Compact"/>
              <w:suppressAutoHyphens/>
              <w:jc w:val="center"/>
            </w:pPr>
            <w:r>
              <w:rPr>
                <w:sz w:val="18"/>
                <w:szCs w:val="18"/>
              </w:rPr>
              <w:t xml:space="preserve">1.77</w:t>
            </w:r>
          </w:p>
        </w:tc>
        <w:tc>
          <w:tcPr>
            <w:vAlign w:val="center"/>
          </w:tcPr>
          <w:p>
            <w:pPr>
              <w:pStyle w:val="Compact"/>
              <w:suppressAutoHyphens/>
              <w:jc w:val="center"/>
            </w:pPr>
            <w:r>
              <w:rPr>
                <w:sz w:val="18"/>
                <w:szCs w:val="18"/>
              </w:rPr>
              <w:t xml:space="preserve">−538 (condensed-phase 298 K from LLNL Explosives Handbook, Dobratz 1981; literature range −504 to −539 kJ mol</w:t>
            </w:r>
            <w:r>
              <w:rPr>
                <w:vertAlign w:val="superscript"/>
                <w:sz w:val="18"/>
                <w:szCs w:val="18"/>
              </w:rPr>
              <w:t xml:space="preserve">−1</w:t>
            </w:r>
            <w:r>
              <w:rPr>
                <w:sz w:val="18"/>
                <w:szCs w:val="18"/>
              </w:rPr>
              <w:t xml:space="preserve"> </w:t>
            </w:r>
            <w:r>
              <w:rPr>
                <w:sz w:val="18"/>
                <w:szCs w:val="18"/>
              </w:rPr>
              <w:t xml:space="preserve">depending on measurement method; the chosen value is within the ±64.6 kJ mol</w:t>
            </w:r>
            <w:r>
              <w:rPr>
                <w:vertAlign w:val="superscript"/>
                <w:sz w:val="18"/>
                <w:szCs w:val="18"/>
              </w:rPr>
              <w:t xml:space="preserve">−1</w:t>
            </w:r>
            <w:r>
              <w:rPr>
                <w:sz w:val="18"/>
                <w:szCs w:val="18"/>
              </w:rPr>
              <w:t xml:space="preserve"> </w:t>
            </w:r>
            <w:r>
              <w:rPr>
                <w:sz w:val="18"/>
                <w:szCs w:val="18"/>
              </w:rPr>
              <w:t xml:space="preserve">LOO RMS)</w:t>
            </w:r>
          </w:p>
        </w:tc>
      </w:tr>
      <w:tr>
        <w:tc>
          <w:tcPr>
            <w:vAlign w:val="center"/>
          </w:tcPr>
          <w:p>
            <w:pPr>
              <w:pStyle w:val="Compact"/>
              <w:suppressAutoHyphens/>
              <w:jc w:val="center"/>
            </w:pPr>
            <w:r>
              <w:rPr>
                <w:sz w:val="18"/>
                <w:szCs w:val="18"/>
              </w:rPr>
              <w:t xml:space="preserve">FOX-7</w:t>
            </w:r>
          </w:p>
        </w:tc>
        <w:tc>
          <w:tcPr>
            <w:vAlign w:val="center"/>
          </w:tcPr>
          <w:p>
            <w:pPr>
              <w:pStyle w:val="Compact"/>
              <w:suppressAutoHyphens/>
              <w:jc w:val="center"/>
            </w:pPr>
            <w:r>
              <w:rPr>
                <w:sz w:val="18"/>
                <w:szCs w:val="18"/>
              </w:rPr>
              <w:t xml:space="preserve">1.89</w:t>
            </w:r>
          </w:p>
        </w:tc>
        <w:tc>
          <w:tcPr>
            <w:vAlign w:val="center"/>
          </w:tcPr>
          <w:p>
            <w:pPr>
              <w:pStyle w:val="Compact"/>
              <w:suppressAutoHyphens/>
              <w:jc w:val="center"/>
            </w:pPr>
            <w:r>
              <w:rPr>
                <w:sz w:val="18"/>
                <w:szCs w:val="18"/>
              </w:rPr>
              <w:t xml:space="preserve">−134</w:t>
            </w:r>
          </w:p>
        </w:tc>
      </w:tr>
      <w:tr>
        <w:tc>
          <w:tcPr>
            <w:vAlign w:val="center"/>
          </w:tcPr>
          <w:p>
            <w:pPr>
              <w:pStyle w:val="Compact"/>
              <w:suppressAutoHyphens/>
              <w:jc w:val="center"/>
            </w:pPr>
            <w:r>
              <w:rPr>
                <w:sz w:val="18"/>
                <w:szCs w:val="18"/>
              </w:rPr>
              <w:t xml:space="preserve">NTO</w:t>
            </w:r>
          </w:p>
        </w:tc>
        <w:tc>
          <w:tcPr>
            <w:vAlign w:val="center"/>
          </w:tcPr>
          <w:p>
            <w:pPr>
              <w:pStyle w:val="Compact"/>
              <w:suppressAutoHyphens/>
              <w:jc w:val="center"/>
            </w:pPr>
            <w:r>
              <w:rPr>
                <w:sz w:val="18"/>
                <w:szCs w:val="18"/>
              </w:rPr>
              <w:t xml:space="preserve">1.93</w:t>
            </w:r>
          </w:p>
        </w:tc>
        <w:tc>
          <w:tcPr>
            <w:vAlign w:val="center"/>
          </w:tcPr>
          <w:p>
            <w:pPr>
              <w:pStyle w:val="Compact"/>
              <w:suppressAutoHyphens/>
              <w:jc w:val="center"/>
            </w:pPr>
            <w:r>
              <w:rPr>
                <w:sz w:val="18"/>
                <w:szCs w:val="18"/>
              </w:rPr>
              <w:t xml:space="preserve">−129</w:t>
            </w:r>
          </w:p>
        </w:tc>
      </w:tr>
    </w:tbl>
    <w:p>
      <w:pPr>
        <w:pStyle w:val="MDPI31text"/>
        <w:ind w:left="2608"/>
      </w:pPr>
    </w:p>
    <w:p>
      <w:pPr>
        <w:pStyle w:val="MDPI41tablecaption"/>
        <w:ind w:left="2608"/>
      </w:pPr>
      <w:r>
        <w:rPr>
          <w:b/>
          <w:bCs/>
        </w:rPr>
        <w:t xml:space="preserve">Table 2.</w:t>
      </w:r>
      <w:r>
        <w:t xml:space="preserve"> </w:t>
      </w:r>
      <w:r>
        <w:t xml:space="preserve">Per-lead calibration-propagated uncertainty on K-J</w:t>
      </w:r>
      <w:r>
        <w:t xml:space="preserve"> </w:t>
      </w:r>
      <m:oMath>
        <m:r>
          <m:t>D</m:t>
        </m:r>
      </m:oMath>
      <w:r>
        <w:t xml:space="preserve"> </w:t>
      </w:r>
      <w:r>
        <w:t xml:space="preserve">and</w:t>
      </w:r>
      <w:r>
        <w:t xml:space="preserve"> </w:t>
      </w:r>
      <m:oMath>
        <m:r>
          <m:t>P</m:t>
        </m:r>
      </m:oMath>
      <w:r>
        <w:t xml:space="preserve">.</w:t>
      </w:r>
      <w:r>
        <w:t xml:space="preserve"> </w:t>
      </w:r>
      <m:oMath>
        <m:r>
          <m:t>δ</m:t>
        </m:r>
        <m:r>
          <m:t>D</m:t>
        </m:r>
      </m:oMath>
      <w:r>
        <w:t xml:space="preserve"> </w:t>
      </w:r>
      <w:r>
        <w:t xml:space="preserve">and</w:t>
      </w:r>
      <w:r>
        <w:t xml:space="preserve"> </w:t>
      </w:r>
      <m:oMath>
        <m:r>
          <m:t>δ</m:t>
        </m:r>
        <m:r>
          <m:t>P</m:t>
        </m:r>
      </m:oMath>
      <w:r>
        <w:t xml:space="preserve"> </w:t>
      </w:r>
      <w:r>
        <w:t xml:space="preserve">are obtained by propagating the 6-anchor LOO calibration errors (</w:t>
      </w:r>
      <m:oMath>
        <m:r>
          <m:t>δ</m:t>
        </m:r>
        <m:sSub>
          <m:e>
            <m:r>
              <m:t>ρ</m:t>
            </m:r>
          </m:e>
          <m:sub>
            <m:r>
              <m:rPr>
                <m:sty m:val="p"/>
              </m:rPr>
              <m:t>L</m:t>
            </m:r>
            <m:r>
              <m:rPr>
                <m:sty m:val="p"/>
              </m:rPr>
              <m:t>O</m:t>
            </m:r>
            <m:r>
              <m:rPr>
                <m:sty m:val="p"/>
              </m:rPr>
              <m:t>O</m:t>
            </m:r>
          </m:sub>
        </m:sSub>
        <m:r>
          <m:rPr>
            <m:sty m:val="p"/>
          </m:rPr>
          <m:t>=</m:t>
        </m:r>
        <m:r>
          <m:t>0.078</m:t>
        </m:r>
      </m:oMath>
      <w:r>
        <w:t xml:space="preserve"> g cm</w:t>
      </w:r>
      <w:r>
        <w:rPr>
          <w:vertAlign w:val="superscript"/>
        </w:rPr>
        <w:t xml:space="preserve">−3</w:t>
      </w:r>
      <w:r>
        <w:t xml:space="preserve">,</w:t>
      </w:r>
      <w:r>
        <w:t xml:space="preserve"> </w:t>
      </w:r>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w:r>
        <w:t xml:space="preserve"> kJ mol</w:t>
      </w:r>
      <w:r>
        <w:rPr>
          <w:vertAlign w:val="superscript"/>
        </w:rPr>
        <w:t xml:space="preserve">−1</w:t>
      </w:r>
      <w:r>
        <w:t xml:space="preserve">) through the K-J analytic sensitivity slopes in quadrature. The "K-J formula bias" column reports a per-lead estimate of the typical K-J under-prediction at the lead's N-fraction, derived from the Section 2.3</w:t>
      </w:r>
      <w:r>
        <w:t xml:space="preserve"> </w:t>
      </w:r>
      <m:oMath>
        <m:sSub>
          <m:e>
            <m:r>
              <m:t>f</m:t>
            </m:r>
          </m:e>
          <m:sub>
            <m:r>
              <m:t>N</m:t>
            </m:r>
          </m:sub>
        </m:sSub>
      </m:oMath>
      <w:r>
        <w:t xml:space="preserve"> </w:t>
      </w:r>
      <w:r>
        <w:t xml:space="preserve">regression on 575 Tier-A rows; the propagated calibration uncertainty (</w:t>
      </w:r>
      <m:oMath>
        <m:r>
          <m:t>δ</m:t>
        </m:r>
        <m:r>
          <m:t>D</m:t>
        </m:r>
      </m:oMath>
      <w:r>
        <w:t xml:space="preserve">) is separate. Uni-Mol surrogate error is a third source not included here.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06"/>
        <w:gridCol w:w="912"/>
        <w:gridCol w:w="1217"/>
        <w:gridCol w:w="763"/>
        <w:gridCol w:w="795"/>
        <w:gridCol w:w="801"/>
        <w:gridCol w:w="763"/>
        <w:gridCol w:w="1528"/>
        <w:gridCol w:w="57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D</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t>δ</m:t>
              </m:r>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P</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m:oMath>
              <m:r>
                <w:rPr>
                  <w:sz w:val="18"/>
                  <w:szCs w:val="18"/>
                </w:rPr>
                <m:t>δ</m:t>
              </m:r>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K-J formula bias (typical, 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rPr>
                  <m:sty m:val="p"/>
                </m:rPr>
                <m:t>∂</m:t>
              </m:r>
              <m:r>
                <w:rPr>
                  <w:sz w:val="18"/>
                  <w:szCs w:val="18"/>
                </w:rPr>
                <m:t>D</m:t>
              </m:r>
              <m:r>
                <w:rPr>
                  <w:sz w:val="18"/>
                  <w:szCs w:val="18"/>
                </w:rPr>
                <m:rPr>
                  <m:sty m:val="p"/>
                </m:rPr>
                <m:t>/</m:t>
              </m:r>
              <m:r>
                <w:rPr>
                  <w:sz w:val="18"/>
                  <w:szCs w:val="18"/>
                </w:rPr>
                <m:rPr>
                  <m:sty m:val="p"/>
                </m:rPr>
                <m:t>∂</m:t>
              </m:r>
              <m:r>
                <w:rPr>
                  <w:sz w:val="18"/>
                  <w:szCs w:val="18"/>
                </w:rPr>
                <m:t>ρ</m:t>
              </m:r>
            </m:oMath>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8.25</w:t>
            </w:r>
          </w:p>
        </w:tc>
        <w:tc>
          <w:tcPr>
            <w:vAlign w:val="center"/>
          </w:tcPr>
          <w:p>
            <w:pPr>
              <w:pStyle w:val="Compact"/>
              <w:suppressAutoHyphens/>
              <w:jc w:val="center"/>
            </w:pPr>
            <w:r>
              <w:rPr>
                <w:sz w:val="18"/>
                <w:szCs w:val="18"/>
              </w:rPr>
              <w:t xml:space="preserve">±0.28</w:t>
            </w:r>
          </w:p>
        </w:tc>
        <w:tc>
          <w:tcPr>
            <w:vAlign w:val="center"/>
          </w:tcPr>
          <w:p>
            <w:pPr>
              <w:pStyle w:val="Compact"/>
              <w:suppressAutoHyphens/>
              <w:jc w:val="center"/>
            </w:pPr>
            <w:r>
              <w:rPr>
                <w:sz w:val="18"/>
                <w:szCs w:val="18"/>
              </w:rPr>
              <w:t xml:space="preserve">32.9</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−0.1 ± 0.4 (</w:t>
            </w:r>
            <m:oMath>
              <m:sSub>
                <m:e>
                  <m:r>
                    <w:rPr>
                      <w:sz w:val="18"/>
                      <w:szCs w:val="18"/>
                    </w:rPr>
                    <m:t>f</m:t>
                  </m:r>
                </m:e>
                <m:sub>
                  <m:r>
                    <w:rPr>
                      <w:sz w:val="18"/>
                      <w:szCs w:val="18"/>
                    </w:rPr>
                    <m:t>N</m:t>
                  </m:r>
                </m:sub>
              </m:sSub>
              <m:r>
                <w:rPr>
                  <w:sz w:val="18"/>
                  <w:szCs w:val="18"/>
                </w:rPr>
                <m:rPr>
                  <m:sty m:val="p"/>
                </m:rPr>
                <m:t>≈</m:t>
              </m:r>
              <m:r>
                <w:rPr>
                  <w:sz w:val="18"/>
                  <w:szCs w:val="18"/>
                </w:rPr>
                <m:t>0.29</m:t>
              </m:r>
            </m:oMath>
            <w:r>
              <w:rPr>
                <w:sz w:val="18"/>
                <w:szCs w:val="18"/>
              </w:rPr>
              <w:t xml:space="preserve">, PETN-like)</w:t>
            </w:r>
          </w:p>
        </w:tc>
        <w:tc>
          <w:tcPr>
            <w:vAlign w:val="center"/>
          </w:tcPr>
          <w:p>
            <w:pPr>
              <w:pStyle w:val="Compact"/>
              <w:suppressAutoHyphens/>
              <w:jc w:val="center"/>
            </w:pPr>
            <w:r>
              <w:rPr>
                <w:sz w:val="18"/>
                <w:szCs w:val="18"/>
              </w:rPr>
              <w:t xml:space="preserve">2.88</w:t>
            </w:r>
          </w:p>
        </w:tc>
      </w:tr>
      <w:tr>
        <w:tc>
          <w:tcPr>
            <w:vAlign w:val="center"/>
          </w:tcPr>
          <w:p>
            <w:pPr>
              <w:pStyle w:val="Compact"/>
              <w:suppressAutoHyphens/>
              <w:jc w:val="center"/>
            </w:pPr>
            <w:r>
              <w:rPr>
                <w:sz w:val="18"/>
                <w:szCs w:val="18"/>
              </w:rPr>
              <w:t xml:space="preserve">L2</w:t>
            </w:r>
          </w:p>
        </w:tc>
        <w:tc>
          <w:tcPr>
            <w:vAlign w:val="center"/>
          </w:tcPr>
          <w:p>
            <w:pPr>
              <w:pStyle w:val="Compact"/>
              <w:suppressAutoHyphens/>
              <w:jc w:val="center"/>
            </w:pPr>
            <w:r>
              <w:rPr>
                <w:sz w:val="18"/>
                <w:szCs w:val="18"/>
              </w:rPr>
              <w:t xml:space="preserve">1.949</w:t>
            </w:r>
          </w:p>
        </w:tc>
        <w:tc>
          <w:tcPr>
            <w:vAlign w:val="center"/>
          </w:tcPr>
          <w:p>
            <w:pPr>
              <w:pStyle w:val="Compact"/>
              <w:suppressAutoHyphens/>
              <w:jc w:val="center"/>
            </w:pPr>
            <w:r>
              <w:rPr>
                <w:sz w:val="18"/>
                <w:szCs w:val="18"/>
              </w:rPr>
              <w:t xml:space="preserve">−89.3</w:t>
            </w:r>
          </w:p>
        </w:tc>
        <w:tc>
          <w:tcPr>
            <w:vAlign w:val="center"/>
          </w:tcPr>
          <w:p>
            <w:pPr>
              <w:pStyle w:val="Compact"/>
              <w:suppressAutoHyphens/>
              <w:jc w:val="center"/>
            </w:pPr>
            <w:r>
              <w:rPr>
                <w:sz w:val="18"/>
                <w:szCs w:val="18"/>
              </w:rPr>
              <w:t xml:space="preserve">7.78</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28.1</w:t>
            </w:r>
          </w:p>
        </w:tc>
        <w:tc>
          <w:tcPr>
            <w:vAlign w:val="center"/>
          </w:tcPr>
          <w:p>
            <w:pPr>
              <w:pStyle w:val="Compact"/>
              <w:suppressAutoHyphens/>
              <w:jc w:val="center"/>
            </w:pPr>
            <w:r>
              <w:rPr>
                <w:sz w:val="18"/>
                <w:szCs w:val="18"/>
              </w:rPr>
              <w:t xml:space="preserve">±2.3</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2.86</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6.71</w:t>
            </w:r>
          </w:p>
        </w:tc>
        <w:tc>
          <w:tcPr>
            <w:vAlign w:val="center"/>
          </w:tcPr>
          <w:p>
            <w:pPr>
              <w:pStyle w:val="Compact"/>
              <w:suppressAutoHyphens/>
              <w:jc w:val="center"/>
            </w:pPr>
            <w:r>
              <w:rPr>
                <w:sz w:val="18"/>
                <w:szCs w:val="18"/>
              </w:rPr>
              <w:t xml:space="preserve">±0.25</w:t>
            </w:r>
          </w:p>
        </w:tc>
        <w:tc>
          <w:tcPr>
            <w:vAlign w:val="center"/>
          </w:tcPr>
          <w:p>
            <w:pPr>
              <w:pStyle w:val="Compact"/>
              <w:suppressAutoHyphens/>
              <w:jc w:val="center"/>
            </w:pPr>
            <w:r>
              <w:rPr>
                <w:sz w:val="18"/>
                <w:szCs w:val="18"/>
              </w:rPr>
              <w:t xml:space="preserve">20.9</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−0.7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7.99</w:t>
            </w:r>
          </w:p>
        </w:tc>
        <w:tc>
          <w:tcPr>
            <w:vAlign w:val="center"/>
          </w:tcPr>
          <w:p>
            <w:pPr>
              <w:pStyle w:val="Compact"/>
              <w:suppressAutoHyphens/>
              <w:jc w:val="center"/>
            </w:pPr>
            <w:r>
              <w:rPr>
                <w:sz w:val="18"/>
                <w:szCs w:val="18"/>
              </w:rPr>
              <w:t xml:space="preserve">±0.30</w:t>
            </w:r>
          </w:p>
        </w:tc>
        <w:tc>
          <w:tcPr>
            <w:vAlign w:val="center"/>
          </w:tcPr>
          <w:p>
            <w:pPr>
              <w:pStyle w:val="Compact"/>
              <w:suppressAutoHyphens/>
              <w:jc w:val="center"/>
            </w:pPr>
            <w:r>
              <w:rPr>
                <w:sz w:val="18"/>
                <w:szCs w:val="18"/>
              </w:rPr>
              <w:t xml:space="preserve">29.6</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−0.3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7.33</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24.6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7.88</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28.5</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7.36</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24.5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2.80</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7.09</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22.6</w:t>
            </w:r>
          </w:p>
        </w:tc>
        <w:tc>
          <w:tcPr>
            <w:vAlign w:val="center"/>
          </w:tcPr>
          <w:p>
            <w:pPr>
              <w:pStyle w:val="Compact"/>
              <w:suppressAutoHyphens/>
              <w:jc w:val="center"/>
            </w:pPr>
            <w:r>
              <w:rPr>
                <w:sz w:val="18"/>
                <w:szCs w:val="18"/>
              </w:rPr>
              <w:t xml:space="preserve">±2.0</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2.72</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7.24</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24.0</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−0.6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25.8</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2.69</w:t>
            </w:r>
          </w:p>
        </w:tc>
      </w:tr>
    </w:tbl>
    <w:p>
      <w:pPr>
        <w:pStyle w:val="MDPI31text"/>
        <w:ind w:left="2608"/>
      </w:pPr>
      <w:r>
        <w:rPr>
          <w:b/>
          <w:bCs/>
        </w:rPr>
        <w:t xml:space="preserve">Literature context for L1.</w:t>
      </w:r>
      <w:r>
        <w:t xml:space="preserve"> </w:t>
      </w:r>
      <w:r>
        <w:t xml:space="preserve">The polynitroisoxazole family is established in the energetic-materials literature (</w:t>
      </w:r>
      <w:hyperlink w:anchor="ref-sabatini2018">
        <w:r>
          <w:rPr>
            <w:rStyle w:val="Hyperlink"/>
          </w:rPr>
          <w:t xml:space="preserve">[62]</w:t>
        </w:r>
      </w:hyperlink>
      <w:hyperlink w:anchor="ref-konnov2025nitroisoxazole">
        <w:r>
          <w:rPr>
            <w:rStyle w:val="Hyperlink"/>
          </w:rPr>
          <w:t xml:space="preserve">[63]</w:t>
        </w:r>
      </w:hyperlink>
      <w:r>
        <w:t xml:space="preserve">); the isomeric 3,4,5-trinitro-1</w:t>
      </w:r>
      <w:r>
        <w:rPr>
          <w:i/>
          <w:iCs/>
        </w:rPr>
        <w:t xml:space="preserve">H</w:t>
      </w:r>
      <w:r>
        <w:t xml:space="preserve">-pyrazole</w:t>
      </w:r>
      <w:r>
        <w:t xml:space="preserve"> </w:t>
      </w:r>
      <w:hyperlink w:anchor="ref-herve2010">
        <w:r>
          <w:rPr>
            <w:rStyle w:val="Hyperlink"/>
          </w:rPr>
          <w:t xml:space="preserve">[64]</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p>
      <w:pPr>
        <w:pStyle w:val="MDPI22heading2"/>
        <w:ind w:left="2608"/>
      </w:pPr>
      <w:r>
        <w:t xml:space="preserve">2.4 Novelty, synthesisability, and scaffold diversity</w:t>
      </w:r>
    </w:p>
    <w:p>
      <w:pPr>
        <w:pStyle w:val="MDPI32textnoindent"/>
        <w:ind w:left="2608"/>
      </w:pPr>
      <w:r>
        <w:t xml:space="preserve">Three audits frame the merged top-100 against PubChem, public USPTO retrosynthesis templates, and a scaffold-distinct E-set extension. The headline is that DGLD generates a chemotype distribution (the scaffold-distinct E-set extension, E1–E10: 10 DFT leads / 8 Bemis–Murcko scaffolds / 7 families), not a single isoxazole hit.</w:t>
      </w:r>
    </w:p>
    <w:p>
      <w:pPr>
        <w:pStyle w:val="MDPI23heading3"/>
        <w:ind w:left="2608"/>
      </w:pPr>
      <w:r>
        <w:t xml:space="preserve">Novelty audit</w:t>
      </w:r>
    </w:p>
    <w:p>
      <w:pPr>
        <w:pStyle w:val="MDPI32textnoindent"/>
        <w:ind w:left="2608"/>
      </w:pPr>
      <w:r>
        <w:t xml:space="preserve">Of the merged top-100,</w:t>
      </w:r>
      <w:r>
        <w:t xml:space="preserve"> </w:t>
      </w:r>
      <w:r>
        <w:rPr>
          <w:b/>
          <w:bCs/>
        </w:rPr>
        <w:t xml:space="preserve">96/97 are absent from PubChem</w:t>
      </w:r>
      <w:r>
        <w:t xml:space="preserve"> </w:t>
      </w:r>
      <w:hyperlink w:anchor="ref-kim2023pubchem">
        <w:r>
          <w:rPr>
            <w:rStyle w:val="Hyperlink"/>
          </w:rPr>
          <w:t xml:space="preserve">[65]</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are absent from the 65 980-row labelled master</w:t>
      </w:r>
      <w:r>
        <w:t xml:space="preserve">; the three rediscoveries (dinitramide, 1,2-dinitrohydrazine, N,N′-dinitrocarbodiimide) confirm the model rediscovers established high-density CHNO motifs.</w:t>
      </w:r>
      <w:r>
        <w:t xml:space="preserve"> </w:t>
      </w:r>
      <w:r>
        <w:rPr>
          <w:b/>
          <w:bCs/>
        </w:rPr>
        <w:t xml:space="preserve">Zero of the 100 candidates lie within Tanimoto 0.70 of any augmented-corpus row, and zero are exact matches in the 694 518-row augmented corpus</w:t>
      </w:r>
      <w:r>
        <w:t xml:space="preserve"> </w:t>
      </w:r>
      <w:r>
        <w:t xml:space="preserve">(Table 3);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Supplementary Section D.7).</w:t>
      </w:r>
    </w:p>
    <w:p>
      <w:pPr>
        <w:pStyle w:val="MDPI41tablecaption"/>
        <w:ind w:left="2608"/>
      </w:pPr>
      <w:r>
        <w:rPr>
          <w:b/>
          <w:bCs/>
        </w:rPr>
        <w:t xml:space="preserve">Table 3.</w:t>
      </w:r>
      <w:r>
        <w:t xml:space="preserve"> </w:t>
      </w:r>
      <w:r>
        <w:t xml:space="preserve">Stratified novelty of the merged top-100 against the 65 980-row labelled master and the 694 518-row augmented training corpus. Max Tanimoto on Morgan FP (radius 2, 2048 bits) per candidate against every reference row.</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37"/>
        <w:gridCol w:w="691"/>
        <w:gridCol w:w="1426"/>
        <w:gridCol w:w="799"/>
        <w:gridCol w:w="1160"/>
        <w:gridCol w:w="1160"/>
        <w:gridCol w:w="885"/>
      </w:tblGrid>
      <w:tr>
        <w:trPr>
          <w:tblHeader w:val="on"/>
        </w:trPr>
        <w:tc>
          <w:tcPr>
            <w:tcBorders>
              <w:bottom w:val="single" w:sz="8" w:space="0" w:color="auto"/>
            </w:tcBorders>
            <w:vAlign w:val="center"/>
          </w:tcPr>
          <w:p>
            <w:pPr>
              <w:pStyle w:val="Compact"/>
              <w:suppressAutoHyphens/>
              <w:jc w:val="center"/>
            </w:pPr>
            <w:r>
              <w:rPr>
                <w:b/>
                <w:sz w:val="18"/>
                <w:szCs w:val="18"/>
              </w:rPr>
              <w:t xml:space="preserve">Reference set</w:t>
            </w:r>
          </w:p>
        </w:tc>
        <w:tc>
          <w:tcPr>
            <w:tcBorders>
              <w:bottom w:val="single" w:sz="8" w:space="0" w:color="auto"/>
            </w:tcBorders>
            <w:vAlign w:val="center"/>
          </w:tcPr>
          <w:p>
            <w:pPr>
              <w:pStyle w:val="Compact"/>
              <w:suppressAutoHyphens/>
              <w:jc w:val="center"/>
            </w:pPr>
            <w:r>
              <w:rPr>
                <w:b/>
                <w:sz w:val="18"/>
                <w:szCs w:val="18"/>
              </w:rPr>
              <w:t xml:space="preserve">Size</w:t>
            </w:r>
          </w:p>
        </w:tc>
        <w:tc>
          <w:tcPr>
            <w:tcBorders>
              <w:bottom w:val="single" w:sz="8" w:space="0" w:color="auto"/>
            </w:tcBorders>
            <w:vAlign w:val="center"/>
          </w:tcPr>
          <w:p>
            <w:pPr>
              <w:pStyle w:val="Compact"/>
              <w:suppressAutoHyphens/>
              <w:jc w:val="center"/>
            </w:pPr>
            <w:r>
              <w:rPr>
                <w:b/>
                <w:sz w:val="18"/>
                <w:szCs w:val="18"/>
              </w:rPr>
              <w:t xml:space="preserve">Median NN-Tanimoto</w:t>
            </w:r>
          </w:p>
        </w:tc>
        <w:tc>
          <w:tcPr>
            <w:tcBorders>
              <w:bottom w:val="single" w:sz="8" w:space="0" w:color="auto"/>
            </w:tcBorders>
            <w:vAlign w:val="center"/>
          </w:tcPr>
          <w:p>
            <w:pPr>
              <w:pStyle w:val="Compact"/>
              <w:suppressAutoHyphens/>
              <w:jc w:val="center"/>
            </w:pPr>
            <w:r>
              <w:rPr>
                <w:b/>
                <w:sz w:val="18"/>
                <w:szCs w:val="18"/>
              </w:rPr>
              <w:t xml:space="preserve">p25 / p75</w:t>
            </w:r>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0.55</m:t>
              </m:r>
            </m:oMath>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0.70</m:t>
              </m:r>
            </m:oMath>
          </w:p>
        </w:tc>
        <w:tc>
          <w:tcPr>
            <w:tcBorders>
              <w:bottom w:val="single" w:sz="8" w:space="0" w:color="auto"/>
            </w:tcBorders>
            <w:vAlign w:val="center"/>
          </w:tcPr>
          <w:p>
            <w:pPr>
              <w:pStyle w:val="Compact"/>
              <w:suppressAutoHyphens/>
              <w:jc w:val="center"/>
            </w:pPr>
            <w:r>
              <w:rPr>
                <w:b/>
                <w:sz w:val="18"/>
                <w:szCs w:val="18"/>
              </w:rPr>
              <w:t xml:space="preserve">exact match</w:t>
            </w:r>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65 980</w:t>
            </w:r>
          </w:p>
        </w:tc>
        <w:tc>
          <w:tcPr>
            <w:vAlign w:val="center"/>
          </w:tcPr>
          <w:p>
            <w:pPr>
              <w:pStyle w:val="Compact"/>
              <w:suppressAutoHyphens/>
              <w:jc w:val="center"/>
            </w:pPr>
            <w:r>
              <w:rPr>
                <w:sz w:val="18"/>
                <w:szCs w:val="18"/>
              </w:rPr>
              <w:t xml:space="preserve">0.36</w:t>
            </w:r>
          </w:p>
        </w:tc>
        <w:tc>
          <w:tcPr>
            <w:vAlign w:val="center"/>
          </w:tcPr>
          <w:p>
            <w:pPr>
              <w:pStyle w:val="Compact"/>
              <w:suppressAutoHyphens/>
              <w:jc w:val="center"/>
            </w:pPr>
            <w:r>
              <w:rPr>
                <w:sz w:val="18"/>
                <w:szCs w:val="18"/>
              </w:rPr>
              <w:t xml:space="preserve">0.32 / 0.42</w:t>
            </w:r>
          </w:p>
        </w:tc>
        <w:tc>
          <w:tcPr>
            <w:vAlign w:val="center"/>
          </w:tcPr>
          <w:p>
            <w:pPr>
              <w:pStyle w:val="Compact"/>
              <w:suppressAutoHyphens/>
              <w:jc w:val="center"/>
            </w:pPr>
            <w:r>
              <w:rPr>
                <w:sz w:val="18"/>
                <w:szCs w:val="18"/>
              </w:rPr>
              <w:t xml:space="preserve">3 %</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1 %</w:t>
            </w:r>
          </w:p>
        </w:tc>
      </w:tr>
      <w:tr>
        <w:tc>
          <w:tcPr>
            <w:vAlign w:val="center"/>
          </w:tcPr>
          <w:p>
            <w:pPr>
              <w:pStyle w:val="Compact"/>
              <w:suppressAutoHyphens/>
              <w:jc w:val="center"/>
            </w:pPr>
            <w:r>
              <w:rPr>
                <w:sz w:val="18"/>
                <w:szCs w:val="18"/>
              </w:rPr>
              <w:t xml:space="preserve">Augmented training corpus</w:t>
            </w:r>
          </w:p>
        </w:tc>
        <w:tc>
          <w:tcPr>
            <w:vAlign w:val="center"/>
          </w:tcPr>
          <w:p>
            <w:pPr>
              <w:pStyle w:val="Compact"/>
              <w:suppressAutoHyphens/>
              <w:jc w:val="center"/>
            </w:pPr>
            <w:r>
              <w:rPr>
                <w:sz w:val="18"/>
                <w:szCs w:val="18"/>
              </w:rPr>
              <w:t xml:space="preserve">694 518</w:t>
            </w:r>
          </w:p>
        </w:tc>
        <w:tc>
          <w:tcPr>
            <w:vAlign w:val="center"/>
          </w:tcPr>
          <w:p>
            <w:pPr>
              <w:pStyle w:val="Compact"/>
              <w:suppressAutoHyphens/>
              <w:jc w:val="center"/>
            </w:pPr>
            <w:r>
              <w:rPr>
                <w:b/>
                <w:bCs/>
                <w:sz w:val="18"/>
                <w:szCs w:val="18"/>
              </w:rPr>
              <w:t xml:space="preserve">0.32</w:t>
            </w:r>
          </w:p>
        </w:tc>
        <w:tc>
          <w:tcPr>
            <w:vAlign w:val="center"/>
          </w:tcPr>
          <w:p>
            <w:pPr>
              <w:pStyle w:val="Compact"/>
              <w:suppressAutoHyphens/>
              <w:jc w:val="center"/>
            </w:pPr>
            <w:r>
              <w:rPr>
                <w:sz w:val="18"/>
                <w:szCs w:val="18"/>
              </w:rPr>
              <w:t xml:space="preserve">0.29 / 0.38</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0 %</w:t>
            </w:r>
          </w:p>
        </w:tc>
        <w:tc>
          <w:tcPr>
            <w:vAlign w:val="center"/>
          </w:tcPr>
          <w:p>
            <w:pPr>
              <w:pStyle w:val="Compact"/>
              <w:suppressAutoHyphens/>
              <w:jc w:val="center"/>
            </w:pPr>
            <w:r>
              <w:rPr>
                <w:sz w:val="18"/>
                <w:szCs w:val="18"/>
              </w:rPr>
              <w:t xml:space="preserve">0 %</w:t>
            </w:r>
          </w:p>
        </w:tc>
      </w:tr>
    </w:tbl>
    <w:p>
      <w:pPr>
        <w:pStyle w:val="MDPI23heading3"/>
        <w:ind w:left="2608"/>
      </w:pPr>
      <w:r>
        <w:t xml:space="preserve">Retrosynthesis audit</w:t>
      </w:r>
    </w:p>
    <w:p>
      <w:pPr>
        <w:pStyle w:val="MDPI32textnoindent"/>
        <w:ind w:left="2608"/>
      </w:pPr>
      <w:r>
        <w:t xml:space="preserve">AiZynthFinder</w:t>
      </w:r>
      <w:r>
        <w:t xml:space="preserve"> </w:t>
      </w:r>
      <w:hyperlink w:anchor="ref-genheden2020aizynth">
        <w:r>
          <w:rPr>
            <w:rStyle w:val="Hyperlink"/>
          </w:rPr>
          <w:t xml:space="preserve">[60]</w:t>
        </w:r>
      </w:hyperlink>
      <w:r>
        <w:t xml:space="preserve"> </w:t>
      </w:r>
      <w:r>
        <w:t xml:space="preserve">with public USPTO expansion + filter policies and the ZINC in-stock catalog (200 MCTS iter, 300 s/target) was applied to L1, L4, L5 and then extended to the remaining nine chem-pass leads.</w:t>
      </w:r>
      <w:r>
        <w:t xml:space="preserve"> </w:t>
      </w:r>
      <w:r>
        <w:rPr>
          <w:b/>
          <w:bCs/>
        </w:rPr>
        <w:t xml:space="preserve">L1 returns 9 productive routes; the top route is 4 steps with state score 0.50</w:t>
      </w:r>
      <w:r>
        <w:t xml:space="preserve"> </w:t>
      </w:r>
      <w:r>
        <w:t xml:space="preserve">(Table 4). L4, L5, and the nine extension leads return zero productive routes within budget; reproduced at 5× budget (1000 MCTS iter, 1800 s) on L4/L5. The L1 disconnection sequence (electrophilic ring-nitration; Boc protection; DPPA-mediated Curtius rearrangement on 4,5-dinitro-1,2-isoxazole-3-carboxylic acid), its hazard caveats (acyl-azide intermediate at primary-explosive class), and the ZINC catalog gap on energetic-domain intermediates are documented in Supplementary Section D.14. The 1/12 hit rate quantifies a public-USPTO drug-domain template-database gap, not unsynthesisability of the candidates; an energetics-domain template extension is flagged as community follow-up in Section 3.</w:t>
      </w:r>
    </w:p>
    <w:p>
      <w:pPr>
        <w:pStyle w:val="MDPI41tablecaption"/>
        <w:ind w:left="2608"/>
      </w:pPr>
      <w:r>
        <w:rPr>
          <w:b/>
          <w:bCs/>
        </w:rPr>
        <w:t xml:space="preserve">Table 4.</w:t>
      </w:r>
      <w:r>
        <w:t xml:space="preserve"> </w:t>
      </w:r>
      <w:r>
        <w:t xml:space="preserve">AiZynthFinder retrosynthetic search on three representative leads (L1 aromatic, L4 5-ring N-rich, L5 open-chain), 200 MCTS iterations / 300 s, USPTO templates + ZINC in-stock catalog. State score 0.049 = "target node only" baseline.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97"/>
        <w:gridCol w:w="2374"/>
        <w:gridCol w:w="2071"/>
        <w:gridCol w:w="1587"/>
        <w:gridCol w:w="1329"/>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Scaffold</w:t>
            </w:r>
          </w:p>
        </w:tc>
        <w:tc>
          <w:tcPr>
            <w:tcBorders>
              <w:bottom w:val="single" w:sz="8" w:space="0" w:color="auto"/>
            </w:tcBorders>
            <w:vAlign w:val="center"/>
          </w:tcPr>
          <w:p>
            <w:pPr>
              <w:pStyle w:val="Compact"/>
              <w:suppressAutoHyphens/>
              <w:jc w:val="center"/>
            </w:pPr>
            <w:r>
              <w:rPr>
                <w:b/>
                <w:sz w:val="18"/>
                <w:szCs w:val="18"/>
              </w:rPr>
              <w:t xml:space="preserve">Routes found</w:t>
            </w:r>
          </w:p>
        </w:tc>
        <w:tc>
          <w:tcPr>
            <w:tcBorders>
              <w:bottom w:val="single" w:sz="8" w:space="0" w:color="auto"/>
            </w:tcBorders>
            <w:vAlign w:val="center"/>
          </w:tcPr>
          <w:p>
            <w:pPr>
              <w:pStyle w:val="Compact"/>
              <w:suppressAutoHyphens/>
              <w:jc w:val="center"/>
            </w:pPr>
            <w:r>
              <w:rPr>
                <w:b/>
                <w:sz w:val="18"/>
                <w:szCs w:val="18"/>
              </w:rPr>
              <w:t xml:space="preserve">Top-route steps</w:t>
            </w:r>
          </w:p>
        </w:tc>
        <w:tc>
          <w:tcPr>
            <w:tcBorders>
              <w:bottom w:val="single" w:sz="8" w:space="0" w:color="auto"/>
            </w:tcBorders>
            <w:vAlign w:val="center"/>
          </w:tcPr>
          <w:p>
            <w:pPr>
              <w:pStyle w:val="Compact"/>
              <w:suppressAutoHyphens/>
              <w:jc w:val="center"/>
            </w:pPr>
            <w:r>
              <w:rPr>
                <w:b/>
                <w:sz w:val="18"/>
                <w:szCs w:val="18"/>
              </w:rPr>
              <w:t xml:space="preserve">State score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aromatic isoxazole</w:t>
            </w:r>
          </w:p>
        </w:tc>
        <w:tc>
          <w:tcPr>
            <w:vAlign w:val="center"/>
          </w:tcPr>
          <w:p>
            <w:pPr>
              <w:pStyle w:val="Compact"/>
              <w:suppressAutoHyphens/>
              <w:jc w:val="center"/>
            </w:pPr>
            <w:r>
              <w:rPr>
                <w:b/>
                <w:bCs/>
                <w:sz w:val="18"/>
                <w:szCs w:val="18"/>
              </w:rPr>
              <w:t xml:space="preserve">9</w:t>
            </w:r>
          </w:p>
        </w:tc>
        <w:tc>
          <w:tcPr>
            <w:vAlign w:val="center"/>
          </w:tcPr>
          <w:p>
            <w:pPr>
              <w:pStyle w:val="Compact"/>
              <w:suppressAutoHyphens/>
              <w:jc w:val="center"/>
            </w:pPr>
            <w:r>
              <w:rPr>
                <w:sz w:val="18"/>
                <w:szCs w:val="18"/>
              </w:rPr>
              <w:t xml:space="preserve">4</w:t>
            </w:r>
          </w:p>
        </w:tc>
        <w:tc>
          <w:tcPr>
            <w:vAlign w:val="center"/>
          </w:tcPr>
          <w:p>
            <w:pPr>
              <w:pStyle w:val="Compact"/>
              <w:suppressAutoHyphens/>
              <w:jc w:val="center"/>
            </w:pPr>
            <w:r>
              <w:rPr>
                <w:sz w:val="18"/>
                <w:szCs w:val="18"/>
              </w:rPr>
              <w:t xml:space="preserve">0.50</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tetrazoline nitramine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acyl oxime nitrate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bl>
    <w:p>
      <w:pPr>
        <w:pStyle w:val="MDPI23heading3"/>
        <w:ind w:left="2608"/>
      </w:pPr>
      <w:r>
        <w:t xml:space="preserve">E-set scaffold-diversity audit (E1–E10)</w:t>
      </w:r>
    </w:p>
    <w:p>
      <w:pPr>
        <w:pStyle w:val="MDPI32textnoindent"/>
        <w:ind w:left="2608"/>
      </w:pPr>
      <w:r>
        <w:t xml:space="preserve">To probe scaffold diversity beyond the single sampling stream of the L-set, we mined a 500-candidate extension pool from the four sampling runs of Section 2.2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7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MDPI41tablecaption"/>
        <w:ind w:left="2608"/>
      </w:pPr>
      <w:r>
        <w:rPr>
          <w:b/>
          <w:bCs/>
        </w:rPr>
        <w:t xml:space="preserve">Table 5.</w:t>
      </w:r>
      <w:r>
        <w:t xml:space="preserve"> </w:t>
      </w:r>
      <w:r>
        <w:t xml:space="preserve">Extension-set leads: structure and pre-screen. Columns: lead ID, canonical SMILES, chemotype family, molecular formula, atom count (n_atoms), GFN2-xTB HOMO–LUMO gap in eV, and whether the molecular graph is preserved after xTB geometry optimisation (yes/no). See</w:t>
      </w:r>
      <w:r>
        <w:t xml:space="preserve"> </w:t>
      </w:r>
      <w:r>
        <w:rPr>
          <w:vertAlign w:val="superscript"/>
        </w:rPr>
        <w:t xml:space="preserve">†</w:t>
      </w:r>
      <w:r>
        <w:t xml:space="preserve"> </w:t>
      </w:r>
      <w:r>
        <w:t xml:space="preserve">footnote between Tables 5 and 6 for the E2/E9 K-J caveats referenced in Table 6.</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62"/>
        <w:gridCol w:w="2293"/>
        <w:gridCol w:w="1488"/>
        <w:gridCol w:w="1064"/>
        <w:gridCol w:w="831"/>
        <w:gridCol w:w="672"/>
        <w:gridCol w:w="104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SMILES</w:t>
            </w:r>
          </w:p>
        </w:tc>
        <w:tc>
          <w:tcPr>
            <w:tcBorders>
              <w:bottom w:val="single" w:sz="8" w:space="0" w:color="auto"/>
            </w:tcBorders>
            <w:vAlign w:val="center"/>
          </w:tcPr>
          <w:p>
            <w:pPr>
              <w:pStyle w:val="Compact"/>
              <w:suppressAutoHyphens/>
              <w:jc w:val="center"/>
            </w:pPr>
            <w:r>
              <w:rPr>
                <w:b/>
                <w:sz w:val="18"/>
                <w:szCs w:val="18"/>
              </w:rPr>
              <w:t xml:space="preserve">chemotype family</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xTB gap (eV)</w:t>
            </w:r>
          </w:p>
        </w:tc>
        <w:tc>
          <w:tcPr>
            <w:tcBorders>
              <w:bottom w:val="single" w:sz="8" w:space="0" w:color="auto"/>
            </w:tcBorders>
            <w:vAlign w:val="center"/>
          </w:tcPr>
          <w:p>
            <w:pPr>
              <w:pStyle w:val="Compact"/>
              <w:suppressAutoHyphens/>
              <w:jc w:val="center"/>
            </w:pPr>
            <w:r>
              <w:rPr>
                <w:b/>
                <w:sz w:val="18"/>
                <w:szCs w:val="18"/>
              </w:rPr>
              <w:t xml:space="preserve">graph unchanged</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rStyle w:val="VerbatimChar"/>
                <w:sz w:val="18"/>
                <w:szCs w:val="18"/>
              </w:rPr>
              <w:t xml:space="preserve">O=[N+]([O-])c1nnon1</w:t>
            </w:r>
          </w:p>
        </w:tc>
        <w:tc>
          <w:tcPr>
            <w:vAlign w:val="center"/>
          </w:tcPr>
          <w:p>
            <w:pPr>
              <w:pStyle w:val="Compact"/>
              <w:suppressAutoHyphens/>
              <w:jc w:val="center"/>
            </w:pPr>
            <w:r>
              <w:rPr>
                <w:sz w:val="18"/>
                <w:szCs w:val="18"/>
              </w:rPr>
              <w:t xml:space="preserve">1,2,3,5-oxatriazole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p>
        </w:tc>
        <w:tc>
          <w:tcPr>
            <w:vAlign w:val="center"/>
          </w:tcPr>
          <w:p>
            <w:pPr>
              <w:pStyle w:val="Compact"/>
              <w:suppressAutoHyphens/>
              <w:jc w:val="center"/>
            </w:pPr>
            <w:r>
              <w:rPr>
                <w:sz w:val="18"/>
                <w:szCs w:val="18"/>
              </w:rPr>
              <w:t xml:space="preserve">8</w:t>
            </w:r>
          </w:p>
        </w:tc>
        <w:tc>
          <w:tcPr>
            <w:vAlign w:val="center"/>
          </w:tcPr>
          <w:p>
            <w:pPr>
              <w:pStyle w:val="Compact"/>
              <w:suppressAutoHyphens/>
              <w:jc w:val="center"/>
            </w:pPr>
            <w:r>
              <w:rPr>
                <w:sz w:val="18"/>
                <w:szCs w:val="18"/>
              </w:rPr>
              <w:t xml:space="preserve">2.07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rStyle w:val="VerbatimChar"/>
                <w:sz w:val="18"/>
                <w:szCs w:val="18"/>
              </w:rPr>
              <w:t xml:space="preserve">O=[N+]([O-])NC([N+](=O)[O-])[N+](=O)[O-]</w:t>
            </w:r>
          </w:p>
        </w:tc>
        <w:tc>
          <w:tcPr>
            <w:vAlign w:val="center"/>
          </w:tcPr>
          <w:p>
            <w:pPr>
              <w:pStyle w:val="Compact"/>
              <w:suppressAutoHyphens/>
              <w:jc w:val="center"/>
            </w:pPr>
            <w:r>
              <w:rPr>
                <w:sz w:val="18"/>
                <w:szCs w:val="18"/>
              </w:rPr>
              <w:t xml:space="preserve">acyclic gem-dinitro nitramine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13</w:t>
            </w:r>
          </w:p>
        </w:tc>
        <w:tc>
          <w:tcPr>
            <w:vAlign w:val="center"/>
          </w:tcPr>
          <w:p>
            <w:pPr>
              <w:pStyle w:val="Compact"/>
              <w:suppressAutoHyphens/>
              <w:jc w:val="center"/>
            </w:pPr>
            <w:r>
              <w:rPr>
                <w:sz w:val="18"/>
                <w:szCs w:val="18"/>
              </w:rPr>
              <w:t xml:space="preserve">1.54</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rStyle w:val="VerbatimChar"/>
                <w:sz w:val="18"/>
                <w:szCs w:val="18"/>
              </w:rPr>
              <w:t xml:space="preserve">O=[N+]([O-])Nc1conc1[N+](=O)[O-]</w:t>
            </w:r>
          </w:p>
        </w:tc>
        <w:tc>
          <w:tcPr>
            <w:vAlign w:val="center"/>
          </w:tcPr>
          <w:p>
            <w:pPr>
              <w:pStyle w:val="Compact"/>
              <w:suppressAutoHyphens/>
              <w:jc w:val="center"/>
            </w:pPr>
            <w:r>
              <w:rPr>
                <w:sz w:val="18"/>
                <w:szCs w:val="18"/>
              </w:rPr>
              <w:t xml:space="preserve">isoxazole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2.10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rStyle w:val="VerbatimChar"/>
                <w:sz w:val="18"/>
                <w:szCs w:val="18"/>
              </w:rPr>
              <w:t xml:space="preserve">O=[N+]([O-])NC1=CC1([N+](=O)[O-])[N+](=O)[O-]</w:t>
            </w:r>
          </w:p>
        </w:tc>
        <w:tc>
          <w:tcPr>
            <w:vAlign w:val="center"/>
          </w:tcPr>
          <w:p>
            <w:pPr>
              <w:pStyle w:val="Compact"/>
              <w:suppressAutoHyphens/>
              <w:jc w:val="center"/>
            </w:pPr>
            <w:r>
              <w:rPr>
                <w:sz w:val="18"/>
                <w:szCs w:val="18"/>
              </w:rPr>
              <w:t xml:space="preserve">cyclopropene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1.59</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rStyle w:val="VerbatimChar"/>
                <w:sz w:val="18"/>
                <w:szCs w:val="18"/>
              </w:rPr>
              <w:t xml:space="preserve">O=[N+]([O-])OCC1([N+](=O)[O-])C=N1</w:t>
            </w:r>
          </w:p>
        </w:tc>
        <w:tc>
          <w:tcPr>
            <w:vAlign w:val="center"/>
          </w:tcPr>
          <w:p>
            <w:pPr>
              <w:pStyle w:val="Compact"/>
              <w:suppressAutoHyphens/>
              <w:jc w:val="center"/>
            </w:pPr>
            <w:r>
              <w:rPr>
                <w:sz w:val="18"/>
                <w:szCs w:val="18"/>
              </w:rPr>
              <w:t xml:space="preserve">small-ring nitrate ester</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2.22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rStyle w:val="VerbatimChar"/>
                <w:sz w:val="18"/>
                <w:szCs w:val="18"/>
              </w:rPr>
              <w:t xml:space="preserve">O=[N+]([O-])c1c[nH]c([N+](=O)[O-])c1</w:t>
            </w:r>
          </w:p>
        </w:tc>
        <w:tc>
          <w:tcPr>
            <w:vAlign w:val="center"/>
          </w:tcPr>
          <w:p>
            <w:pPr>
              <w:pStyle w:val="Compact"/>
              <w:suppressAutoHyphens/>
              <w:jc w:val="center"/>
            </w:pPr>
            <w:r>
              <w:rPr>
                <w:sz w:val="18"/>
                <w:szCs w:val="18"/>
              </w:rPr>
              <w:t xml:space="preserve">NH-pyrrole nitroaromatic</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(retry)</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rStyle w:val="VerbatimChar"/>
                <w:sz w:val="18"/>
                <w:szCs w:val="18"/>
              </w:rPr>
              <w:t xml:space="preserve">N=C1C(O[N+](=O)[O-])=CC1[N+](=O)[O-]</w:t>
            </w:r>
          </w:p>
        </w:tc>
        <w:tc>
          <w:tcPr>
            <w:vAlign w:val="center"/>
          </w:tcPr>
          <w:p>
            <w:pPr>
              <w:pStyle w:val="Compact"/>
              <w:suppressAutoHyphens/>
              <w:jc w:val="center"/>
            </w:pPr>
            <w:r>
              <w:rPr>
                <w:sz w:val="18"/>
                <w:szCs w:val="18"/>
              </w:rPr>
              <w:t xml:space="preserve">cyclobutenimine nitrate ester</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1.68</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rStyle w:val="VerbatimChar"/>
                <w:sz w:val="18"/>
                <w:szCs w:val="18"/>
              </w:rPr>
              <w:t xml:space="preserve">CC1(C([N+](=O)[O-])[N+](=O)[O-])C=C([N+](=O)[O-])C=C1[N+](=O)[O-]</w:t>
            </w:r>
          </w:p>
        </w:tc>
        <w:tc>
          <w:tcPr>
            <w:vAlign w:val="center"/>
          </w:tcPr>
          <w:p>
            <w:pPr>
              <w:pStyle w:val="Compact"/>
              <w:suppressAutoHyphens/>
              <w:jc w:val="center"/>
            </w:pPr>
            <w:r>
              <w:rPr>
                <w:sz w:val="18"/>
                <w:szCs w:val="18"/>
              </w:rPr>
              <w:t xml:space="preserve">geminal polynitro carbocycle</w:t>
            </w:r>
          </w:p>
        </w:tc>
        <w:tc>
          <w:tcPr>
            <w:vAlign w:val="center"/>
          </w:tcPr>
          <w:p>
            <w:pPr>
              <w:pStyle w:val="Compact"/>
              <w:suppressAutoHyphens/>
              <w:jc w:val="center"/>
            </w:pPr>
            <w:r>
              <w:rPr>
                <w:sz w:val="18"/>
                <w:szCs w:val="18"/>
              </w:rPr>
              <w:t xml:space="preserve">C</w:t>
            </w:r>
            <w:r>
              <w:rPr>
                <w:vertAlign w:val="subscript"/>
                <w:sz w:val="18"/>
                <w:szCs w:val="18"/>
              </w:rPr>
              <w:t xml:space="preserve">7</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1.57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rStyle w:val="VerbatimChar"/>
                <w:sz w:val="18"/>
                <w:szCs w:val="18"/>
              </w:rPr>
              <w:t xml:space="preserve">c1nnn[nH]1</w:t>
            </w:r>
          </w:p>
        </w:tc>
        <w:tc>
          <w:tcPr>
            <w:vAlign w:val="center"/>
          </w:tcPr>
          <w:p>
            <w:pPr>
              <w:pStyle w:val="Compact"/>
              <w:suppressAutoHyphens/>
              <w:jc w:val="center"/>
            </w:pPr>
            <w:r>
              <w:rPr>
                <w:sz w:val="18"/>
                <w:szCs w:val="18"/>
              </w:rPr>
              <w:t xml:space="preserve">bare 1H-tetrazole (no NO</w:t>
            </w:r>
            <w:r>
              <w:rPr>
                <w:vertAlign w:val="subscript"/>
                <w:sz w:val="18"/>
                <w:szCs w:val="18"/>
              </w:rPr>
              <w:t xml:space="preserve">2</w:t>
            </w:r>
            <w:r>
              <w:rPr>
                <w:sz w:val="18"/>
                <w:szCs w:val="18"/>
              </w:rPr>
              <w:t xml:space="preserve">)</w:t>
            </w:r>
          </w:p>
        </w:tc>
        <w:tc>
          <w:tcPr>
            <w:vAlign w:val="center"/>
          </w:tcPr>
          <w:p>
            <w:pPr>
              <w:pStyle w:val="Compact"/>
              <w:suppressAutoHyphens/>
              <w:jc w:val="center"/>
            </w:pPr>
            <w:r>
              <w:rPr>
                <w:sz w:val="18"/>
                <w:szCs w:val="18"/>
              </w:rPr>
              <w:t xml:space="preserve">CH</w:t>
            </w:r>
            <w:r>
              <w:rPr>
                <w:vertAlign w:val="subscript"/>
                <w:sz w:val="18"/>
                <w:szCs w:val="18"/>
              </w:rPr>
              <w:t xml:space="preserve">2</w:t>
            </w:r>
            <w:r>
              <w:rPr>
                <w:sz w:val="18"/>
                <w:szCs w:val="18"/>
              </w:rPr>
              <w:t xml:space="preserve">N</w:t>
            </w:r>
            <w:r>
              <w:rPr>
                <w:vertAlign w:val="subscript"/>
                <w:sz w:val="18"/>
                <w:szCs w:val="18"/>
              </w:rPr>
              <w:t xml:space="preserve">4</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4.92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rStyle w:val="VerbatimChar"/>
                <w:sz w:val="18"/>
                <w:szCs w:val="18"/>
              </w:rPr>
              <w:t xml:space="preserve">O=[N+]([O-])C1=NCC=N1</w:t>
            </w:r>
          </w:p>
        </w:tc>
        <w:tc>
          <w:tcPr>
            <w:vAlign w:val="center"/>
          </w:tcPr>
          <w:p>
            <w:pPr>
              <w:pStyle w:val="Compact"/>
              <w:suppressAutoHyphens/>
              <w:jc w:val="center"/>
            </w:pPr>
            <w:r>
              <w:rPr>
                <w:sz w:val="18"/>
                <w:szCs w:val="18"/>
              </w:rPr>
              <w:t xml:space="preserve">nitro-imidazoline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2</w:t>
            </w:r>
          </w:p>
        </w:tc>
        <w:tc>
          <w:tcPr>
            <w:vAlign w:val="center"/>
          </w:tcPr>
          <w:p>
            <w:pPr>
              <w:pStyle w:val="Compact"/>
              <w:suppressAutoHyphens/>
              <w:jc w:val="center"/>
            </w:pPr>
            <w:r>
              <w:rPr>
                <w:sz w:val="18"/>
                <w:szCs w:val="18"/>
              </w:rPr>
              <w:t xml:space="preserve">11</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yes</w:t>
            </w:r>
          </w:p>
        </w:tc>
      </w:tr>
    </w:tbl>
    <w:p>
      <w:pPr>
        <w:pStyle w:val="MDPI31text"/>
        <w:ind w:left="2608"/>
      </w:pPr>
      <w:r>
        <w:t xml:space="preserve">†E2 D and P are flagged: OB = +28.9 % exceeds the +25 % K-J reliability limit; these values are upper-bound estimates only (see Section 2.4 E2 audit). E9 K-J is undefined (OB &lt; −200 %).</w:t>
      </w:r>
    </w:p>
    <w:p>
      <w:pPr>
        <w:pStyle w:val="MDPI41tablecaption"/>
        <w:ind w:left="2608"/>
      </w:pPr>
      <w:r>
        <w:rPr>
          <w:b/>
          <w:bCs/>
        </w:rPr>
        <w:t xml:space="preserve">Table 6.</w:t>
      </w:r>
      <w:r>
        <w:t xml:space="preserve"> </w:t>
      </w:r>
      <w:r>
        <w:t xml:space="preserve">Extension-set leads: DFT, 6-anchor calibration, Kamlet–Jacobs, and h</w:t>
      </w:r>
      <w:r>
        <w:rPr>
          <w:vertAlign w:val="subscript"/>
        </w:rPr>
        <w:t xml:space="preserve">50</w:t>
      </w:r>
      <w:r>
        <w:t xml:space="preserve">. Columns: lead ID, raw DFT density ρ</w:t>
      </w:r>
      <w:r>
        <w:rPr>
          <w:vertAlign w:val="subscript"/>
        </w:rPr>
        <w:t xml:space="preserve">DFT</w:t>
      </w:r>
      <w:r>
        <w:t xml:space="preserve"> </w:t>
      </w:r>
      <w:r>
        <w:t xml:space="preserve">(g cm</w:t>
      </w:r>
      <w:r>
        <w:rPr>
          <w:vertAlign w:val="superscript"/>
        </w:rPr>
        <w:t xml:space="preserve">−3</w:t>
      </w:r>
      <w:r>
        <w:t xml:space="preserve">), 6-anchor-calibrated density ρ</w:t>
      </w:r>
      <w:r>
        <w:rPr>
          <w:vertAlign w:val="subscript"/>
        </w:rPr>
        <w:t xml:space="preserve">cal</w:t>
      </w:r>
      <w:r>
        <w:t xml:space="preserve"> </w:t>
      </w:r>
      <w:r>
        <w:t xml:space="preserve">(g cm</w:t>
      </w:r>
      <w:r>
        <w:rPr>
          <w:vertAlign w:val="superscript"/>
        </w:rPr>
        <w:t xml:space="preserve">−3</w:t>
      </w:r>
      <w:r>
        <w:t xml:space="preserve">), raw DFT heat of formation HOF</w:t>
      </w:r>
      <w:r>
        <w:rPr>
          <w:vertAlign w:val="subscript"/>
        </w:rPr>
        <w:t xml:space="preserve">DFT</w:t>
      </w:r>
      <w:r>
        <w:t xml:space="preserve"> </w:t>
      </w:r>
      <w:r>
        <w:t xml:space="preserve">(kJ mol</w:t>
      </w:r>
      <w:r>
        <w:rPr>
          <w:vertAlign w:val="superscript"/>
        </w:rPr>
        <w:t xml:space="preserve">−1</w:t>
      </w:r>
      <w:r>
        <w:t xml:space="preserve">), calibrated HOF</w:t>
      </w:r>
      <w:r>
        <w:rPr>
          <w:vertAlign w:val="subscript"/>
        </w:rPr>
        <w:t xml:space="preserve">cal</w:t>
      </w:r>
      <w:r>
        <w:t xml:space="preserve"> </w:t>
      </w:r>
      <w:r>
        <w:t xml:space="preserve">(kJ mol</w:t>
      </w:r>
      <w:r>
        <w:rPr>
          <w:vertAlign w:val="superscript"/>
        </w:rPr>
        <w:t xml:space="preserve">−1</w:t>
      </w:r>
      <w:r>
        <w:t xml:space="preserve">), Kamlet–Jacobs detonation velocity on calibrated inputs D</w:t>
      </w:r>
      <w:r>
        <w:rPr>
          <w:vertAlign w:val="subscript"/>
        </w:rPr>
        <w:t xml:space="preserve">K-J,cal</w:t>
      </w:r>
      <w:r>
        <w:t xml:space="preserve"> </w:t>
      </w:r>
      <w:r>
        <w:t xml:space="preserve">(km s</w:t>
      </w:r>
      <w:r>
        <w:rPr>
          <w:vertAlign w:val="superscript"/>
        </w:rPr>
        <w:t xml:space="preserve">−1</w:t>
      </w:r>
      <w:r>
        <w:t xml:space="preserve">), Kamlet–Jacobs detonation pressure P</w:t>
      </w:r>
      <w:r>
        <w:rPr>
          <w:vertAlign w:val="subscript"/>
        </w:rPr>
        <w:t xml:space="preserve">K-J,cal</w:t>
      </w:r>
      <w:r>
        <w:t xml:space="preserve"> </w:t>
      </w:r>
      <w:r>
        <w:t xml:space="preserve">(GPa), and Politzer–Murray BDE-correlated drop-weight impact sensitivity h</w:t>
      </w:r>
      <w:r>
        <w:rPr>
          <w:vertAlign w:val="subscript"/>
        </w:rPr>
        <w:t xml:space="preserve">50,BDE</w:t>
      </w:r>
      <w:r>
        <w:t xml:space="preserve"> </w:t>
      </w:r>
      <w:r>
        <w:t xml:space="preserve">(cm).</w:t>
      </w:r>
      <w:r>
        <w:t xml:space="preserve"> </w:t>
      </w:r>
      <w:r>
        <w:rPr>
          <w:vertAlign w:val="superscript"/>
        </w:rPr>
        <w:t xml:space="preserve">†</w:t>
      </w:r>
      <w:r>
        <w:t xml:space="preserve">E2 D and P are flagged: OB = +28.9 % exceeds the +25 % K-J reliability limit; these values are upper-bound estimates only (see Section 2.4 E2 audit). E9 K-J is undefined (OB &lt; −200 %).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35"/>
        <w:gridCol w:w="778"/>
        <w:gridCol w:w="709"/>
        <w:gridCol w:w="1384"/>
        <w:gridCol w:w="1247"/>
        <w:gridCol w:w="1075"/>
        <w:gridCol w:w="989"/>
        <w:gridCol w:w="1141"/>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D</w:t>
            </w:r>
            <w:r>
              <w:rPr>
                <w:b/>
                <w:vertAlign w:val="subscript"/>
                <w:sz w:val="18"/>
                <w:szCs w:val="18"/>
              </w:rPr>
              <w:t xml:space="preserve">K-J,cal</w:t>
            </w:r>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P</w:t>
            </w:r>
            <w:r>
              <w:rPr>
                <w:b/>
                <w:vertAlign w:val="subscript"/>
                <w:sz w:val="18"/>
                <w:szCs w:val="18"/>
              </w:rPr>
              <w:t xml:space="preserve">K-J,cal</w:t>
            </w:r>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h50</w:t>
            </w:r>
            <w:r>
              <w:rPr>
                <w:b/>
                <w:vertAlign w:val="subscript"/>
                <w:sz w:val="18"/>
                <w:szCs w:val="18"/>
              </w:rPr>
              <w:t xml:space="preserve">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sz w:val="18"/>
                <w:szCs w:val="18"/>
              </w:rPr>
              <w:t xml:space="preserve">1.765</w:t>
            </w:r>
          </w:p>
        </w:tc>
        <w:tc>
          <w:tcPr>
            <w:vAlign w:val="center"/>
          </w:tcPr>
          <w:p>
            <w:pPr>
              <w:pStyle w:val="Compact"/>
              <w:suppressAutoHyphens/>
              <w:jc w:val="center"/>
            </w:pPr>
            <w:r>
              <w:rPr>
                <w:b/>
                <w:bCs/>
                <w:sz w:val="18"/>
                <w:szCs w:val="18"/>
              </w:rPr>
              <w:t xml:space="preserve">2.043</w:t>
            </w:r>
          </w:p>
        </w:tc>
        <w:tc>
          <w:tcPr>
            <w:vAlign w:val="center"/>
          </w:tcPr>
          <w:p>
            <w:pPr>
              <w:pStyle w:val="Compact"/>
              <w:suppressAutoHyphens/>
              <w:jc w:val="center"/>
            </w:pPr>
            <w:r>
              <w:rPr>
                <w:sz w:val="18"/>
                <w:szCs w:val="18"/>
              </w:rPr>
              <w:t xml:space="preserve">320.1</w:t>
            </w:r>
          </w:p>
        </w:tc>
        <w:tc>
          <w:tcPr>
            <w:vAlign w:val="center"/>
          </w:tcPr>
          <w:p>
            <w:pPr>
              <w:pStyle w:val="Compact"/>
              <w:suppressAutoHyphens/>
              <w:jc w:val="center"/>
            </w:pPr>
            <w:r>
              <w:rPr>
                <w:sz w:val="18"/>
                <w:szCs w:val="18"/>
              </w:rPr>
              <w:t xml:space="preserve">113.5</w:t>
            </w:r>
          </w:p>
        </w:tc>
        <w:tc>
          <w:tcPr>
            <w:vAlign w:val="center"/>
          </w:tcPr>
          <w:p>
            <w:pPr>
              <w:pStyle w:val="Compact"/>
              <w:suppressAutoHyphens/>
              <w:jc w:val="center"/>
            </w:pPr>
            <w:r>
              <w:rPr>
                <w:b/>
                <w:bCs/>
                <w:sz w:val="18"/>
                <w:szCs w:val="18"/>
              </w:rPr>
              <w:t xml:space="preserve">9.00</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sz w:val="18"/>
                <w:szCs w:val="18"/>
              </w:rPr>
              <w:t xml:space="preserve">1.730</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42.7</w:t>
            </w:r>
          </w:p>
        </w:tc>
        <w:tc>
          <w:tcPr>
            <w:vAlign w:val="center"/>
          </w:tcPr>
          <w:p>
            <w:pPr>
              <w:pStyle w:val="Compact"/>
              <w:suppressAutoHyphens/>
              <w:jc w:val="center"/>
            </w:pPr>
            <w:r>
              <w:rPr>
                <w:sz w:val="18"/>
                <w:szCs w:val="18"/>
              </w:rPr>
              <w:t xml:space="preserve">−164.0</w:t>
            </w:r>
          </w:p>
        </w:tc>
        <w:tc>
          <w:tcPr>
            <w:vAlign w:val="center"/>
          </w:tcPr>
          <w:p>
            <w:pPr>
              <w:pStyle w:val="Compact"/>
              <w:suppressAutoHyphens/>
              <w:jc w:val="center"/>
            </w:pPr>
            <w:r>
              <w:rPr>
                <w:sz w:val="18"/>
                <w:szCs w:val="18"/>
              </w:rPr>
              <w:t xml:space="preserve">9.22†</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sz w:val="18"/>
                <w:szCs w:val="18"/>
              </w:rPr>
              <w:t xml:space="preserve">1.678</w:t>
            </w:r>
          </w:p>
        </w:tc>
        <w:tc>
          <w:tcPr>
            <w:vAlign w:val="center"/>
          </w:tcPr>
          <w:p>
            <w:pPr>
              <w:pStyle w:val="Compact"/>
              <w:suppressAutoHyphens/>
              <w:jc w:val="center"/>
            </w:pPr>
            <w:r>
              <w:rPr>
                <w:sz w:val="18"/>
                <w:szCs w:val="18"/>
              </w:rPr>
              <w:t xml:space="preserve">1.921</w:t>
            </w:r>
          </w:p>
        </w:tc>
        <w:tc>
          <w:tcPr>
            <w:vAlign w:val="center"/>
          </w:tcPr>
          <w:p>
            <w:pPr>
              <w:pStyle w:val="Compact"/>
              <w:suppressAutoHyphens/>
              <w:jc w:val="center"/>
            </w:pPr>
            <w:r>
              <w:rPr>
                <w:sz w:val="18"/>
                <w:szCs w:val="18"/>
              </w:rPr>
              <w:t xml:space="preserve">214.8</w:t>
            </w:r>
          </w:p>
        </w:tc>
        <w:tc>
          <w:tcPr>
            <w:vAlign w:val="center"/>
          </w:tcPr>
          <w:p>
            <w:pPr>
              <w:pStyle w:val="Compact"/>
              <w:suppressAutoHyphens/>
              <w:jc w:val="center"/>
            </w:pPr>
            <w:r>
              <w:rPr>
                <w:sz w:val="18"/>
                <w:szCs w:val="18"/>
              </w:rPr>
              <w:t xml:space="preserve">8.1</w:t>
            </w:r>
          </w:p>
        </w:tc>
        <w:tc>
          <w:tcPr>
            <w:vAlign w:val="center"/>
          </w:tcPr>
          <w:p>
            <w:pPr>
              <w:pStyle w:val="Compact"/>
              <w:suppressAutoHyphens/>
              <w:jc w:val="center"/>
            </w:pPr>
            <w:r>
              <w:rPr>
                <w:sz w:val="18"/>
                <w:szCs w:val="18"/>
              </w:rPr>
              <w:t xml:space="preserve">7.35</w:t>
            </w:r>
          </w:p>
        </w:tc>
        <w:tc>
          <w:tcPr>
            <w:vAlign w:val="center"/>
          </w:tcPr>
          <w:p>
            <w:pPr>
              <w:pStyle w:val="Compact"/>
              <w:suppressAutoHyphens/>
              <w:jc w:val="center"/>
            </w:pPr>
            <w:r>
              <w:rPr>
                <w:sz w:val="18"/>
                <w:szCs w:val="18"/>
              </w:rPr>
              <w:t xml:space="preserve">24.9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332.4</w:t>
            </w:r>
          </w:p>
        </w:tc>
        <w:tc>
          <w:tcPr>
            <w:vAlign w:val="center"/>
          </w:tcPr>
          <w:p>
            <w:pPr>
              <w:pStyle w:val="Compact"/>
              <w:suppressAutoHyphens/>
              <w:jc w:val="center"/>
            </w:pPr>
            <w:r>
              <w:rPr>
                <w:sz w:val="18"/>
                <w:szCs w:val="18"/>
              </w:rPr>
              <w:t xml:space="preserve">125.8</w:t>
            </w:r>
          </w:p>
        </w:tc>
        <w:tc>
          <w:tcPr>
            <w:vAlign w:val="center"/>
          </w:tcPr>
          <w:p>
            <w:pPr>
              <w:pStyle w:val="Compact"/>
              <w:suppressAutoHyphens/>
              <w:jc w:val="center"/>
            </w:pPr>
            <w:r>
              <w:rPr>
                <w:sz w:val="18"/>
                <w:szCs w:val="18"/>
              </w:rPr>
              <w:t xml:space="preserve">7.39</w:t>
            </w:r>
          </w:p>
        </w:tc>
        <w:tc>
          <w:tcPr>
            <w:vAlign w:val="center"/>
          </w:tcPr>
          <w:p>
            <w:pPr>
              <w:pStyle w:val="Compact"/>
              <w:suppressAutoHyphens/>
              <w:jc w:val="center"/>
            </w:pPr>
            <w:r>
              <w:rPr>
                <w:sz w:val="18"/>
                <w:szCs w:val="18"/>
              </w:rPr>
              <w:t xml:space="preserve">25.1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1.798</w:t>
            </w:r>
          </w:p>
        </w:tc>
        <w:tc>
          <w:tcPr>
            <w:vAlign w:val="center"/>
          </w:tcPr>
          <w:p>
            <w:pPr>
              <w:pStyle w:val="Compact"/>
              <w:suppressAutoHyphens/>
              <w:jc w:val="center"/>
            </w:pPr>
            <w:r>
              <w:rPr>
                <w:sz w:val="18"/>
                <w:szCs w:val="18"/>
              </w:rPr>
              <w:t xml:space="preserve">195.1</w:t>
            </w:r>
          </w:p>
        </w:tc>
        <w:tc>
          <w:tcPr>
            <w:vAlign w:val="center"/>
          </w:tcPr>
          <w:p>
            <w:pPr>
              <w:pStyle w:val="Compact"/>
              <w:suppressAutoHyphens/>
              <w:jc w:val="center"/>
            </w:pPr>
            <w:r>
              <w:rPr>
                <w:sz w:val="18"/>
                <w:szCs w:val="18"/>
              </w:rPr>
              <w:t xml:space="preserve">−11.6</w:t>
            </w:r>
          </w:p>
        </w:tc>
        <w:tc>
          <w:tcPr>
            <w:vAlign w:val="center"/>
          </w:tcPr>
          <w:p>
            <w:pPr>
              <w:pStyle w:val="Compact"/>
              <w:suppressAutoHyphens/>
              <w:jc w:val="center"/>
            </w:pPr>
            <w:r>
              <w:rPr>
                <w:sz w:val="18"/>
                <w:szCs w:val="18"/>
              </w:rPr>
              <w:t xml:space="preserve">7.19</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sz w:val="18"/>
                <w:szCs w:val="18"/>
              </w:rPr>
              <w:t xml:space="preserve">1.576</w:t>
            </w:r>
          </w:p>
        </w:tc>
        <w:tc>
          <w:tcPr>
            <w:vAlign w:val="center"/>
          </w:tcPr>
          <w:p>
            <w:pPr>
              <w:pStyle w:val="Compact"/>
              <w:suppressAutoHyphens/>
              <w:jc w:val="center"/>
            </w:pPr>
            <w:r>
              <w:rPr>
                <w:sz w:val="18"/>
                <w:szCs w:val="18"/>
              </w:rPr>
              <w:t xml:space="preserve">1.779</w:t>
            </w:r>
          </w:p>
        </w:tc>
        <w:tc>
          <w:tcPr>
            <w:vAlign w:val="center"/>
          </w:tcPr>
          <w:p>
            <w:pPr>
              <w:pStyle w:val="Compact"/>
              <w:suppressAutoHyphens/>
              <w:jc w:val="center"/>
            </w:pPr>
            <w:r>
              <w:rPr>
                <w:sz w:val="18"/>
                <w:szCs w:val="18"/>
              </w:rPr>
              <w:t xml:space="preserve">123.5</w:t>
            </w:r>
          </w:p>
        </w:tc>
        <w:tc>
          <w:tcPr>
            <w:vAlign w:val="center"/>
          </w:tcPr>
          <w:p>
            <w:pPr>
              <w:pStyle w:val="Compact"/>
              <w:suppressAutoHyphens/>
              <w:jc w:val="center"/>
            </w:pPr>
            <w:r>
              <w:rPr>
                <w:sz w:val="18"/>
                <w:szCs w:val="18"/>
              </w:rPr>
              <w:t xml:space="preserve">−83.2</w:t>
            </w:r>
          </w:p>
        </w:tc>
        <w:tc>
          <w:tcPr>
            <w:vAlign w:val="center"/>
          </w:tcPr>
          <w:p>
            <w:pPr>
              <w:pStyle w:val="Compact"/>
              <w:suppressAutoHyphens/>
              <w:jc w:val="center"/>
            </w:pPr>
            <w:r>
              <w:rPr>
                <w:sz w:val="18"/>
                <w:szCs w:val="18"/>
              </w:rPr>
              <w:t xml:space="preserve">6.58</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sz w:val="18"/>
                <w:szCs w:val="18"/>
              </w:rPr>
              <w:t xml:space="preserve">1.584</w:t>
            </w:r>
          </w:p>
        </w:tc>
        <w:tc>
          <w:tcPr>
            <w:vAlign w:val="center"/>
          </w:tcPr>
          <w:p>
            <w:pPr>
              <w:pStyle w:val="Compact"/>
              <w:suppressAutoHyphens/>
              <w:jc w:val="center"/>
            </w:pPr>
            <w:r>
              <w:rPr>
                <w:sz w:val="18"/>
                <w:szCs w:val="18"/>
              </w:rPr>
              <w:t xml:space="preserve">1.790</w:t>
            </w:r>
          </w:p>
        </w:tc>
        <w:tc>
          <w:tcPr>
            <w:vAlign w:val="center"/>
          </w:tcPr>
          <w:p>
            <w:pPr>
              <w:pStyle w:val="Compact"/>
              <w:suppressAutoHyphens/>
              <w:jc w:val="center"/>
            </w:pPr>
            <w:r>
              <w:rPr>
                <w:sz w:val="18"/>
                <w:szCs w:val="18"/>
              </w:rPr>
              <w:t xml:space="preserve">235.5</w:t>
            </w:r>
          </w:p>
        </w:tc>
        <w:tc>
          <w:tcPr>
            <w:vAlign w:val="center"/>
          </w:tcPr>
          <w:p>
            <w:pPr>
              <w:pStyle w:val="Compact"/>
              <w:suppressAutoHyphens/>
              <w:jc w:val="center"/>
            </w:pPr>
            <w:r>
              <w:rPr>
                <w:sz w:val="18"/>
                <w:szCs w:val="18"/>
              </w:rPr>
              <w:t xml:space="preserve">28.8</w:t>
            </w:r>
          </w:p>
        </w:tc>
        <w:tc>
          <w:tcPr>
            <w:vAlign w:val="center"/>
          </w:tcPr>
          <w:p>
            <w:pPr>
              <w:pStyle w:val="Compact"/>
              <w:suppressAutoHyphens/>
              <w:jc w:val="center"/>
            </w:pPr>
            <w:r>
              <w:rPr>
                <w:sz w:val="18"/>
                <w:szCs w:val="18"/>
              </w:rPr>
              <w:t xml:space="preserve">6.74</w:t>
            </w:r>
          </w:p>
        </w:tc>
        <w:tc>
          <w:tcPr>
            <w:vAlign w:val="center"/>
          </w:tcPr>
          <w:p>
            <w:pPr>
              <w:pStyle w:val="Compact"/>
              <w:suppressAutoHyphens/>
              <w:jc w:val="center"/>
            </w:pPr>
            <w:r>
              <w:rPr>
                <w:sz w:val="18"/>
                <w:szCs w:val="18"/>
              </w:rPr>
              <w:t xml:space="preserve">20.1</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sz w:val="18"/>
                <w:szCs w:val="18"/>
              </w:rPr>
              <w:t xml:space="preserve">1.580</w:t>
            </w:r>
          </w:p>
        </w:tc>
        <w:tc>
          <w:tcPr>
            <w:vAlign w:val="center"/>
          </w:tcPr>
          <w:p>
            <w:pPr>
              <w:pStyle w:val="Compact"/>
              <w:suppressAutoHyphens/>
              <w:jc w:val="center"/>
            </w:pPr>
            <w:r>
              <w:rPr>
                <w:sz w:val="18"/>
                <w:szCs w:val="18"/>
              </w:rPr>
              <w:t xml:space="preserve">1.784</w:t>
            </w:r>
          </w:p>
        </w:tc>
        <w:tc>
          <w:tcPr>
            <w:vAlign w:val="center"/>
          </w:tcPr>
          <w:p>
            <w:pPr>
              <w:pStyle w:val="Compact"/>
              <w:suppressAutoHyphens/>
              <w:jc w:val="center"/>
            </w:pPr>
            <w:r>
              <w:rPr>
                <w:sz w:val="18"/>
                <w:szCs w:val="18"/>
              </w:rPr>
              <w:t xml:space="preserve">171.0</w:t>
            </w:r>
          </w:p>
        </w:tc>
        <w:tc>
          <w:tcPr>
            <w:vAlign w:val="center"/>
          </w:tcPr>
          <w:p>
            <w:pPr>
              <w:pStyle w:val="Compact"/>
              <w:suppressAutoHyphens/>
              <w:jc w:val="center"/>
            </w:pPr>
            <w:r>
              <w:rPr>
                <w:sz w:val="18"/>
                <w:szCs w:val="18"/>
              </w:rPr>
              <w:t xml:space="preserve">−35.7</w:t>
            </w:r>
          </w:p>
        </w:tc>
        <w:tc>
          <w:tcPr>
            <w:vAlign w:val="center"/>
          </w:tcPr>
          <w:p>
            <w:pPr>
              <w:pStyle w:val="Compact"/>
              <w:suppressAutoHyphens/>
              <w:jc w:val="center"/>
            </w:pPr>
            <w:r>
              <w:rPr>
                <w:sz w:val="18"/>
                <w:szCs w:val="18"/>
              </w:rPr>
              <w:t xml:space="preserve">6.73</w:t>
            </w:r>
          </w:p>
        </w:tc>
        <w:tc>
          <w:tcPr>
            <w:vAlign w:val="center"/>
          </w:tcPr>
          <w:p>
            <w:pPr>
              <w:pStyle w:val="Compact"/>
              <w:suppressAutoHyphens/>
              <w:jc w:val="center"/>
            </w:pPr>
            <w:r>
              <w:rPr>
                <w:sz w:val="18"/>
                <w:szCs w:val="18"/>
              </w:rPr>
              <w:t xml:space="preserve">20.0</w:t>
            </w:r>
          </w:p>
        </w:tc>
        <w:tc>
          <w:tcPr>
            <w:vAlign w:val="center"/>
          </w:tcPr>
          <w:p>
            <w:pPr>
              <w:pStyle w:val="Compact"/>
              <w:suppressAutoHyphens/>
              <w:jc w:val="center"/>
            </w:pPr>
            <w:r>
              <w:rPr>
                <w:sz w:val="18"/>
                <w:szCs w:val="18"/>
              </w:rPr>
              <w:t xml:space="preserve">44.1</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sz w:val="18"/>
                <w:szCs w:val="18"/>
              </w:rPr>
              <w:t xml:space="preserve">1.453</w:t>
            </w:r>
          </w:p>
        </w:tc>
        <w:tc>
          <w:tcPr>
            <w:vAlign w:val="center"/>
          </w:tcPr>
          <w:p>
            <w:pPr>
              <w:pStyle w:val="Compact"/>
              <w:suppressAutoHyphens/>
              <w:jc w:val="center"/>
            </w:pPr>
            <w:r>
              <w:rPr>
                <w:sz w:val="18"/>
                <w:szCs w:val="18"/>
              </w:rPr>
              <w:t xml:space="preserve">1.608</w:t>
            </w:r>
          </w:p>
        </w:tc>
        <w:tc>
          <w:tcPr>
            <w:vAlign w:val="center"/>
          </w:tcPr>
          <w:p>
            <w:pPr>
              <w:pStyle w:val="Compact"/>
              <w:suppressAutoHyphens/>
              <w:jc w:val="center"/>
            </w:pPr>
            <w:r>
              <w:rPr>
                <w:sz w:val="18"/>
                <w:szCs w:val="18"/>
              </w:rPr>
              <w:t xml:space="preserve">506.9</w:t>
            </w:r>
          </w:p>
        </w:tc>
        <w:tc>
          <w:tcPr>
            <w:vAlign w:val="center"/>
          </w:tcPr>
          <w:p>
            <w:pPr>
              <w:pStyle w:val="Compact"/>
              <w:suppressAutoHyphens/>
              <w:jc w:val="center"/>
            </w:pPr>
            <w:r>
              <w:rPr>
                <w:sz w:val="18"/>
                <w:szCs w:val="18"/>
              </w:rPr>
              <w:t xml:space="preserve">300.2</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53.8</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sz w:val="18"/>
                <w:szCs w:val="18"/>
              </w:rPr>
              <w:t xml:space="preserve">1.483</w:t>
            </w:r>
          </w:p>
        </w:tc>
        <w:tc>
          <w:tcPr>
            <w:vAlign w:val="center"/>
          </w:tcPr>
          <w:p>
            <w:pPr>
              <w:pStyle w:val="Compact"/>
              <w:suppressAutoHyphens/>
              <w:jc w:val="center"/>
            </w:pPr>
            <w:r>
              <w:rPr>
                <w:sz w:val="18"/>
                <w:szCs w:val="18"/>
              </w:rPr>
              <w:t xml:space="preserve">1.649</w:t>
            </w:r>
          </w:p>
        </w:tc>
        <w:tc>
          <w:tcPr>
            <w:vAlign w:val="center"/>
          </w:tcPr>
          <w:p>
            <w:pPr>
              <w:pStyle w:val="Compact"/>
              <w:suppressAutoHyphens/>
              <w:jc w:val="center"/>
            </w:pPr>
            <w:r>
              <w:rPr>
                <w:sz w:val="18"/>
                <w:szCs w:val="18"/>
              </w:rPr>
              <w:t xml:space="preserve">249.1</w:t>
            </w:r>
          </w:p>
        </w:tc>
        <w:tc>
          <w:tcPr>
            <w:vAlign w:val="center"/>
          </w:tcPr>
          <w:p>
            <w:pPr>
              <w:pStyle w:val="Compact"/>
              <w:suppressAutoHyphens/>
              <w:jc w:val="center"/>
            </w:pPr>
            <w:r>
              <w:rPr>
                <w:sz w:val="18"/>
                <w:szCs w:val="18"/>
              </w:rPr>
              <w:t xml:space="preserve">42.5</w:t>
            </w:r>
          </w:p>
        </w:tc>
        <w:tc>
          <w:tcPr>
            <w:vAlign w:val="center"/>
          </w:tcPr>
          <w:p>
            <w:pPr>
              <w:pStyle w:val="Compact"/>
              <w:suppressAutoHyphens/>
              <w:jc w:val="center"/>
            </w:pPr>
            <w:r>
              <w:rPr>
                <w:sz w:val="18"/>
                <w:szCs w:val="18"/>
              </w:rPr>
              <w:t xml:space="preserve">5.52</w:t>
            </w:r>
          </w:p>
        </w:tc>
        <w:tc>
          <w:tcPr>
            <w:vAlign w:val="center"/>
          </w:tcPr>
          <w:p>
            <w:pPr>
              <w:pStyle w:val="Compact"/>
              <w:suppressAutoHyphens/>
              <w:jc w:val="center"/>
            </w:pPr>
            <w:r>
              <w:rPr>
                <w:sz w:val="18"/>
                <w:szCs w:val="18"/>
              </w:rPr>
              <w:t xml:space="preserve">12.8</w:t>
            </w:r>
          </w:p>
        </w:tc>
        <w:tc>
          <w:tcPr>
            <w:vAlign w:val="center"/>
          </w:tcPr>
          <w:p>
            <w:pPr>
              <w:pStyle w:val="Compact"/>
              <w:suppressAutoHyphens/>
              <w:jc w:val="center"/>
            </w:pPr>
            <w:r>
              <w:rPr>
                <w:sz w:val="18"/>
                <w:szCs w:val="18"/>
              </w:rPr>
              <w:t xml:space="preserve">53.8</w:t>
            </w:r>
          </w:p>
        </w:tc>
      </w:tr>
    </w:tbl>
    <w:p>
      <w:pPr>
        <w:pStyle w:val="MDPI31text"/>
        <w:ind w:left="2608"/>
      </w:pPr>
      <w:r>
        <w:rPr>
          <w:b/>
          <w:bCs/>
        </w:rPr>
        <w:t xml:space="preserve">E1 oxatriazole (second-family candidate).</w:t>
      </w:r>
      <w:r>
        <w:t xml:space="preserve"> </w:t>
      </w:r>
      <w:r>
        <w:t xml:space="preserve">Under the same 6-anchor calibration applied to L1, E1 (4-nitro-1,2,3,5-oxatriazole) reaches</w:t>
      </w:r>
      <w:r>
        <w:t xml:space="preserve"> </w:t>
      </w:r>
      <m:oMath>
        <m:sSub>
          <m:e>
            <m:r>
              <m:t>ρ</m:t>
            </m:r>
          </m:e>
          <m:sub>
            <m:r>
              <m:rPr>
                <m:nor/>
                <m:sty m:val="p"/>
              </m:rPr>
              <m:t>cal</m:t>
            </m:r>
          </m:sub>
        </m:sSub>
        <m:r>
          <m:rPr>
            <m:sty m:val="p"/>
          </m:rPr>
          <m:t>=</m:t>
        </m:r>
        <m:r>
          <m:t>2.04</m:t>
        </m:r>
      </m:oMath>
      <w:r>
        <w:rPr>
          <w:b/>
          <w:bCs/>
        </w:rPr>
        <w:t xml:space="preserve"> g 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 s</w:t>
      </w:r>
      <w:r>
        <w:rPr>
          <w:b/>
          <w:bCs/>
          <w:vertAlign w:val="superscript"/>
        </w:rPr>
        <w:t xml:space="preserve">−1</w:t>
      </w:r>
      <w:r>
        <w:rPr>
          <w:b/>
          <w:bCs/>
        </w:rPr>
        <w:t xml:space="preserve">,</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E1's calibrated</w:t>
      </w:r>
      <w:r>
        <w:t xml:space="preserve"> </w:t>
      </w:r>
      <m:oMath>
        <m:r>
          <m:t>D</m:t>
        </m:r>
      </m:oMath>
      <w:r>
        <w:t xml:space="preserve"> </w:t>
      </w:r>
      <w:r>
        <w:t xml:space="preserve">exceeds L1's, though its calibrated density is marginally lower (2.04 vs 2.09 g cm</w:t>
      </w:r>
      <w:r>
        <w:rPr>
          <w:vertAlign w:val="superscript"/>
        </w:rPr>
        <w:t xml:space="preserve">−3</w:t>
      </w:r>
      <w:r>
        <w:t xml:space="preserve">). The 1,2,3,5-oxatriazole ring system has known thermal/Lewis-acid ring-opening pathways (Sheremetev 2007; Katritzky 2010); a dedicated BDE and DSC/TGA stability screen is required before E1 is promoted to synthesis priority (Supplementary Section C.5.1). Without an oxatriazole-class anchor, E1's calibrated</w:t>
      </w:r>
      <w:r>
        <w:t xml:space="preserve"> </w:t>
      </w:r>
      <m:oMath>
        <m:r>
          <m:t>D</m:t>
        </m:r>
        <m:r>
          <m:rPr>
            <m:sty m:val="p"/>
          </m:rPr>
          <m:t>=</m:t>
        </m:r>
        <m:r>
          <m:t>9.00</m:t>
        </m:r>
      </m:oMath>
      <w:r>
        <w:t xml:space="preserve"> km s</w:t>
      </w:r>
      <w:r>
        <w:rPr>
          <w:vertAlign w:val="superscript"/>
        </w:rPr>
        <w:t xml:space="preserve">−1</w:t>
      </w:r>
      <w:r>
        <w:t xml:space="preserve"> </w:t>
      </w:r>
      <w:r>
        <w:t xml:space="preserve">is an extrapolation: it either places a second HMX-class lead from a chemotype family disjoint from L1's, or is an upper bound pending an oxatriazole-anchor recompute (a thermochemical-equilibrium CJ on calibrated inputs and an oxatriazole-class anchor extension are scoped as future work in Section 3).</w:t>
      </w:r>
    </w:p>
    <w:p>
      <w:pPr>
        <w:pStyle w:val="MDPI31text"/>
        <w:ind w:left="2608"/>
      </w:pPr>
      <w:r>
        <w:t xml:space="preserve">Of the 10 E-set candidates (Tables 5 and 6),</w:t>
      </w:r>
      <w:r>
        <w:t xml:space="preserve"> </w:t>
      </w:r>
      <w:r>
        <w:rPr>
          <w:b/>
          <w:bCs/>
        </w:rPr>
        <w:t xml:space="preserve">5 of 9 with defined K-J clear</w:t>
      </w:r>
      <w:r>
        <w:rPr>
          <w:b/>
          <w:bCs/>
        </w:rPr>
        <w:t xml:space="preserve"> </w:t>
      </w:r>
      <m:oMath>
        <m:sSub>
          <m:e>
            <m:r>
              <m:t>D</m:t>
            </m:r>
          </m:e>
          <m:sub>
            <m:r>
              <m:rPr>
                <m:nor/>
                <m:sty m:val="p"/>
              </m:rPr>
              <m:t>K-J,cal</m:t>
            </m:r>
          </m:sub>
        </m:sSub>
        <m:r>
          <m:rPr>
            <m:sty m:val="p"/>
          </m:rPr>
          <m:t>≥</m:t>
        </m:r>
        <m:r>
          <m:t>7.0</m:t>
        </m:r>
      </m:oMath>
      <w:r>
        <w:rPr>
          <w:b/>
          <w:bCs/>
        </w:rPr>
        <w:t xml:space="preserve"> km s</w:t>
      </w:r>
      <w:r>
        <w:rPr>
          <w:b/>
          <w:bCs/>
          <w:vertAlign w:val="superscript"/>
        </w:rPr>
        <w:t xml:space="preserve">−1</w:t>
      </w:r>
      <w:r>
        <w:t xml:space="preserve"> </w:t>
      </w:r>
      <w:r>
        <w:t xml:space="preserve">(E1–E5); 8 of 10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 s</w:t>
      </w:r>
      <w:r>
        <w:rPr>
          <w:vertAlign w:val="superscript"/>
        </w:rPr>
        <w:t xml:space="preserve">−1</w:t>
      </w:r>
      <w:r>
        <w:t xml:space="preserve">) is upper-bound only because its OB = +28.9 % exceeds the +25 % K-J reliability limit (Supplementary Section D.13). The L-set sits at the upper edge of a credible distribution; L1 and E1 are the two top-ranked leads, from chemically distinct families.</w:t>
      </w:r>
    </w:p>
    <w:p>
      <w:pPr>
        <w:pStyle w:val="MDPI22heading2"/>
        <w:ind w:left="2608"/>
      </w:pPr>
      <w:r>
        <w:t xml:space="preserve">2.5 Comparison with no-diffusion baselines</w:t>
      </w:r>
    </w:p>
    <w:p>
      <w:pPr>
        <w:pStyle w:val="MDPI32textnoindent"/>
        <w:ind w:left="2608"/>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Supplementary Section F.2 and Supplementary Section F.3 respectively. Results are in Table 7 and Figure 6.</w:t>
      </w:r>
    </w:p>
    <w:p>
      <w:pPr>
        <w:pStyle w:val="MDPI41tablecaption"/>
        <w:ind w:left="2608"/>
      </w:pPr>
      <w:r>
        <w:rPr>
          <w:b/>
          <w:bCs/>
        </w:rPr>
        <w:t xml:space="preserve">Table 7.</w:t>
      </w:r>
      <w:r>
        <w:t xml:space="preserve"> </w:t>
      </w:r>
      <w:r>
        <w:t xml:space="preserve">Top-1 comparison: SMILES-LSTM, MolMIM 70 M, SELFIES-GA, and REINVENT 4 no-diffusion baselines vs. unguided and best-novel DGLD conditions (head-to-head in Supplementary Section F.4). Columns: top-1 composite;</w:t>
      </w:r>
      <w:r>
        <w:t xml:space="preserve"> </w:t>
      </w:r>
      <m:oMath>
        <m:r>
          <m:t>D</m:t>
        </m:r>
      </m:oMath>
      <w:r>
        <w:t xml:space="preserve">,</w:t>
      </w:r>
      <w:r>
        <w:t xml:space="preserve"> </w:t>
      </w:r>
      <m:oMath>
        <m:r>
          <m:t>ρ</m:t>
        </m:r>
      </m:oMath>
      <w:r>
        <w:t xml:space="preserve">,</w:t>
      </w:r>
      <w:r>
        <w:t xml:space="preserve"> </w:t>
      </w:r>
      <m:oMath>
        <m:r>
          <m:t>P</m:t>
        </m:r>
      </m:oMath>
      <w:r>
        <w:t xml:space="preserve">; max-Tanimoto to LM; seeds; memorisation rate (fraction of valid unique samples that are exact labelled-master matches).</w:t>
      </w:r>
      <w:r>
        <w:t xml:space="preserve"> </w:t>
      </w:r>
      <w:r>
        <w:rPr>
          <w:vertAlign w:val="superscript"/>
        </w:rPr>
        <w:t xml:space="preserve">†</w:t>
      </w:r>
      <w:r>
        <w:t xml:space="preserve">SELFIES-GA composite is internal-to-the-run (viability fixed at 0.5, novelty assumed 1.0 during search); it is not on the same basis as the DGLD/LSTM pipeline composite and is omitted from direct comparison.</w:t>
      </w:r>
      <w:r>
        <w:t xml:space="preserve"> </w:t>
      </w:r>
      <w:r>
        <w:rPr>
          <w:vertAlign w:val="superscript"/>
        </w:rPr>
        <w:t xml:space="preserve">‡</w:t>
      </w:r>
      <w:r>
        <w:t xml:space="preserve">REINVENT 4 composite is N-fraction proxy (not full DGLD reranker);</w:t>
      </w:r>
      <w:r>
        <w:t xml:space="preserve"> </w:t>
      </w:r>
      <m:oMath>
        <m:r>
          <m:t>D</m:t>
        </m:r>
        <m:r>
          <m:rPr>
            <m:sty m:val="p"/>
          </m:rPr>
          <m:t>/</m:t>
        </m:r>
        <m:r>
          <m:t>ρ</m:t>
        </m:r>
        <m:r>
          <m:rPr>
            <m:sty m:val="p"/>
          </m:rPr>
          <m:t>/</m:t>
        </m:r>
        <m:r>
          <m:t>P</m:t>
        </m:r>
      </m:oMath>
      <w:r>
        <w:t xml:space="preserve"> </w:t>
      </w:r>
      <w:r>
        <w:t xml:space="preserve">are Uni-Mol scores for the seed-42 top-100 by N-fraction, post-hoc (the RL reward was N-fraction, not the DGLD composite); max-Tanimoto for the top-100 is in the [0.15, 0.65] novelty window (not memorisation).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6"/>
        <w:gridCol w:w="1483"/>
        <w:gridCol w:w="613"/>
        <w:gridCol w:w="692"/>
        <w:gridCol w:w="633"/>
        <w:gridCol w:w="1474"/>
        <w:gridCol w:w="577"/>
        <w:gridCol w:w="830"/>
      </w:tblGrid>
      <w:tr>
        <w:trPr>
          <w:tblHeader w:val="on"/>
        </w:trPr>
        <w:tc>
          <w:tcPr>
            <w:tcBorders>
              <w:bottom w:val="single" w:sz="8" w:space="0" w:color="auto"/>
            </w:tcBorders>
            <w:vAlign w:val="center"/>
          </w:tcPr>
          <w:p>
            <w:pPr>
              <w:pStyle w:val="Compact"/>
              <w:suppressAutoHyphens/>
              <w:jc w:val="center"/>
            </w:pPr>
            <w:r>
              <w:rPr>
                <w:b/>
                <w:sz w:val="18"/>
                <w:szCs w:val="18"/>
              </w:rPr>
              <w:t xml:space="preserve">Method / 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c>
          <w:tcPr>
            <w:tcBorders>
              <w:bottom w:val="single" w:sz="8" w:space="0" w:color="auto"/>
            </w:tcBorders>
            <w:vAlign w:val="center"/>
          </w:tcPr>
          <w:p>
            <w:pPr>
              <w:pStyle w:val="Compact"/>
              <w:suppressAutoHyphens/>
              <w:jc w:val="center"/>
            </w:pPr>
            <w:r>
              <w:rPr>
                <w:b/>
                <w:sz w:val="18"/>
                <w:szCs w:val="18"/>
              </w:rPr>
              <w:t xml:space="preserve">memo rate</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w:t>
            </w:r>
          </w:p>
        </w:tc>
        <w:tc>
          <w:tcPr>
            <w:vAlign w:val="center"/>
          </w:tcPr>
          <w:p>
            <w:pPr>
              <w:pStyle w:val="Compact"/>
              <w:suppressAutoHyphens/>
              <w:jc w:val="center"/>
            </w:pPr>
            <w:r>
              <w:rPr>
                <w:sz w:val="18"/>
                <w:szCs w:val="18"/>
              </w:rPr>
              <w:t xml:space="preserve">0.083</w:t>
            </w:r>
          </w:p>
        </w:tc>
        <w:tc>
          <w:tcPr>
            <w:vAlign w:val="center"/>
          </w:tcPr>
          <w:p>
            <w:pPr>
              <w:pStyle w:val="Compact"/>
              <w:suppressAutoHyphens/>
              <w:jc w:val="center"/>
            </w:pPr>
            <w:r>
              <w:rPr>
                <w:sz w:val="18"/>
                <w:szCs w:val="18"/>
              </w:rPr>
              <w:t xml:space="preserve">9.58</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18.3%</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0.5%</w:t>
            </w:r>
          </w:p>
        </w:tc>
      </w:tr>
      <w:tr>
        <w:tc>
          <w:tcPr>
            <w:vAlign w:val="center"/>
          </w:tcPr>
          <w:p>
            <w:pPr>
              <w:pStyle w:val="Compact"/>
              <w:suppressAutoHyphens/>
              <w:jc w:val="center"/>
            </w:pPr>
            <w:r>
              <w:rPr>
                <w:b/>
                <w:bCs/>
                <w:sz w:val="18"/>
                <w:szCs w:val="18"/>
              </w:rPr>
              <w:t xml:space="preserve">MolMIM 70 M</w:t>
            </w:r>
            <w:r>
              <w:rPr>
                <w:sz w:val="18"/>
                <w:szCs w:val="18"/>
              </w:rPr>
              <w:t xml:space="preserve"> </w:t>
            </w:r>
            <w:r>
              <w:rPr>
                <w:sz w:val="18"/>
                <w:szCs w:val="18"/>
              </w:rPr>
              <w:t xml:space="preserve">(drug-domain pretrain, no diffusion)</w:t>
            </w:r>
          </w:p>
        </w:tc>
        <w:tc>
          <w:tcPr>
            <w:vAlign w:val="center"/>
          </w:tcPr>
          <w:p>
            <w:pPr>
              <w:pStyle w:val="Compact"/>
              <w:suppressAutoHyphens/>
              <w:jc w:val="center"/>
            </w:pPr>
            <w:r>
              <w:rPr>
                <w:sz w:val="18"/>
                <w:szCs w:val="18"/>
              </w:rPr>
              <w:t xml:space="preserve">4.79</w:t>
            </w:r>
          </w:p>
        </w:tc>
        <w:tc>
          <w:tcPr>
            <w:vAlign w:val="center"/>
          </w:tcPr>
          <w:p>
            <w:pPr>
              <w:pStyle w:val="Compact"/>
              <w:suppressAutoHyphens/>
              <w:jc w:val="center"/>
            </w:pPr>
            <w:r>
              <w:rPr>
                <w:sz w:val="18"/>
                <w:szCs w:val="18"/>
              </w:rPr>
              <w:t xml:space="preserve">7.70</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25.5</w:t>
            </w:r>
          </w:p>
        </w:tc>
        <w:tc>
          <w:tcPr>
            <w:vAlign w:val="center"/>
          </w:tcPr>
          <w:p>
            <w:pPr>
              <w:pStyle w:val="Compact"/>
              <w:suppressAutoHyphens/>
              <w:jc w:val="center"/>
            </w:pPr>
            <w:r>
              <w:rPr>
                <w:sz w:val="18"/>
                <w:szCs w:val="18"/>
              </w:rPr>
              <w:t xml:space="preserve">0.625</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n.d.</w:t>
            </w:r>
          </w:p>
        </w:tc>
      </w:tr>
      <w:tr>
        <w:tc>
          <w:tcPr>
            <w:vAlign w:val="center"/>
          </w:tcPr>
          <w:p>
            <w:pPr>
              <w:pStyle w:val="Compact"/>
              <w:suppressAutoHyphens/>
              <w:jc w:val="center"/>
            </w:pPr>
            <w:r>
              <w:rPr>
                <w:b/>
                <w:bCs/>
                <w:sz w:val="18"/>
                <w:szCs w:val="18"/>
              </w:rPr>
              <w:t xml:space="preserve">SELFIES-GA</w:t>
            </w:r>
            <w:r>
              <w:rPr>
                <w:sz w:val="18"/>
                <w:szCs w:val="18"/>
              </w:rPr>
              <w:t xml:space="preserve"> </w:t>
            </w:r>
            <w:r>
              <w:rPr>
                <w:sz w:val="18"/>
                <w:szCs w:val="18"/>
              </w:rPr>
              <w:t xml:space="preserve">(property optimisation, 2 000 pool, 30 gen)</w:t>
            </w:r>
            <w:r>
              <w:rPr>
                <w:vertAlign w:val="superscript"/>
                <w:sz w:val="18"/>
                <w:szCs w:val="18"/>
              </w:rPr>
              <w:t xml:space="preserve">†</w:t>
            </w:r>
          </w:p>
        </w:tc>
        <w:tc>
          <w:tcPr>
            <w:vAlign w:val="center"/>
          </w:tcPr>
          <w:p>
            <w:pPr>
              <w:pStyle w:val="Compact"/>
              <w:suppressAutoHyphens/>
              <w:jc w:val="center"/>
            </w:pPr>
            <w:r>
              <w:rPr>
                <w:sz w:val="18"/>
                <w:szCs w:val="18"/>
              </w:rPr>
              <w:t xml:space="preserve">n.c.</w:t>
            </w:r>
            <w:r>
              <w:rPr>
                <w:vertAlign w:val="superscript"/>
                <w:sz w:val="18"/>
                <w:szCs w:val="18"/>
              </w:rPr>
              <w:t xml:space="preserve">†</w:t>
            </w:r>
          </w:p>
        </w:tc>
        <w:tc>
          <w:tcPr>
            <w:vAlign w:val="center"/>
          </w:tcPr>
          <w:p>
            <w:pPr>
              <w:pStyle w:val="Compact"/>
              <w:suppressAutoHyphens/>
              <w:jc w:val="center"/>
            </w:pPr>
            <w:r>
              <w:rPr>
                <w:sz w:val="18"/>
                <w:szCs w:val="18"/>
              </w:rPr>
              <w:t xml:space="preserve">9.54</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40.9</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 75/100 rediscoveries)</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b/>
                <w:bCs/>
                <w:sz w:val="18"/>
                <w:szCs w:val="18"/>
              </w:rPr>
              <w:t xml:space="preserve">REINVENT 4</w:t>
            </w:r>
            <w:r>
              <w:rPr>
                <w:sz w:val="18"/>
                <w:szCs w:val="18"/>
              </w:rPr>
              <w:t xml:space="preserve"> </w:t>
            </w:r>
            <w:r>
              <w:rPr>
                <w:sz w:val="18"/>
                <w:szCs w:val="18"/>
              </w:rPr>
              <w:t xml:space="preserve">(N-frac RL, 40k pool, seed 42)</w:t>
            </w:r>
            <w:r>
              <w:rPr>
                <w:vertAlign w:val="superscript"/>
                <w:sz w:val="18"/>
                <w:szCs w:val="18"/>
              </w:rPr>
              <w:t xml:space="preserve">‡</w:t>
            </w:r>
          </w:p>
        </w:tc>
        <w:tc>
          <w:tcPr>
            <w:vAlign w:val="center"/>
          </w:tcPr>
          <w:p>
            <w:pPr>
              <w:pStyle w:val="Compact"/>
              <w:suppressAutoHyphens/>
              <w:jc w:val="center"/>
            </w:pPr>
            <w:r>
              <w:rPr>
                <w:sz w:val="18"/>
                <w:szCs w:val="18"/>
              </w:rPr>
              <w:t xml:space="preserve">0.42</w:t>
            </w:r>
            <w:r>
              <w:rPr>
                <w:vertAlign w:val="superscript"/>
                <w:sz w:val="18"/>
                <w:szCs w:val="18"/>
              </w:rPr>
              <w:t xml:space="preserve">‡</w:t>
            </w:r>
          </w:p>
        </w:tc>
        <w:tc>
          <w:tcPr>
            <w:vAlign w:val="center"/>
          </w:tcPr>
          <w:p>
            <w:pPr>
              <w:pStyle w:val="Compact"/>
              <w:suppressAutoHyphens/>
              <w:jc w:val="center"/>
            </w:pPr>
            <w:r>
              <w:rPr>
                <w:sz w:val="18"/>
                <w:szCs w:val="18"/>
              </w:rPr>
              <w:t xml:space="preserve">9.02</w:t>
            </w:r>
            <w:r>
              <w:rPr>
                <w:vertAlign w:val="superscript"/>
                <w:sz w:val="18"/>
                <w:szCs w:val="18"/>
              </w:rPr>
              <w:t xml:space="preserve">‡</w:t>
            </w:r>
          </w:p>
        </w:tc>
        <w:tc>
          <w:tcPr>
            <w:vAlign w:val="center"/>
          </w:tcPr>
          <w:p>
            <w:pPr>
              <w:pStyle w:val="Compact"/>
              <w:suppressAutoHyphens/>
              <w:jc w:val="center"/>
            </w:pPr>
            <w:r>
              <w:rPr>
                <w:sz w:val="18"/>
                <w:szCs w:val="18"/>
              </w:rPr>
              <w:t xml:space="preserve">1.85</w:t>
            </w:r>
            <w:r>
              <w:rPr>
                <w:vertAlign w:val="superscript"/>
                <w:sz w:val="18"/>
                <w:szCs w:val="18"/>
              </w:rPr>
              <w:t xml:space="preserve">‡</w:t>
            </w:r>
          </w:p>
        </w:tc>
        <w:tc>
          <w:tcPr>
            <w:vAlign w:val="center"/>
          </w:tcPr>
          <w:p>
            <w:pPr>
              <w:pStyle w:val="Compact"/>
              <w:suppressAutoHyphens/>
              <w:jc w:val="center"/>
            </w:pPr>
            <w:r>
              <w:rPr>
                <w:sz w:val="18"/>
                <w:szCs w:val="18"/>
              </w:rPr>
              <w:t xml:space="preserve">34.5</w:t>
            </w:r>
            <w:r>
              <w:rPr>
                <w:vertAlign w:val="superscript"/>
                <w:sz w:val="18"/>
                <w:szCs w:val="18"/>
              </w:rPr>
              <w:t xml:space="preserve">‡</w:t>
            </w:r>
          </w:p>
        </w:tc>
        <w:tc>
          <w:tcPr>
            <w:vAlign w:val="center"/>
          </w:tcPr>
          <w:p>
            <w:pPr>
              <w:pStyle w:val="Compact"/>
              <w:suppressAutoHyphens/>
              <w:jc w:val="center"/>
            </w:pPr>
            <w:r>
              <w:rPr>
                <w:sz w:val="18"/>
                <w:szCs w:val="18"/>
              </w:rPr>
              <w:t xml:space="preserve">0.57 (aminotetrazine); 0.32–0.38 (seeds 1-2)</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near-zero</w:t>
            </w:r>
            <w:r>
              <w:rPr>
                <w:sz w:val="18"/>
                <w:szCs w:val="18"/>
              </w:rPr>
              <w:t xml:space="preserve"> </w:t>
            </w:r>
            <w:r>
              <w:rPr>
                <w:sz w:val="18"/>
                <w:szCs w:val="18"/>
              </w:rPr>
              <w:t xml:space="preserve">&lt;0.1% (0.04% exact match, seeds 1-2; &lt;1% novelty-window, seed 42)</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c>
          <w:tcPr>
            <w:vAlign w:val="center"/>
          </w:tcPr>
          <w:p>
            <w:pPr>
              <w:pStyle w:val="Compact"/>
              <w:suppressAutoHyphens/>
              <w:jc w:val="center"/>
            </w:pPr>
            <w:r>
              <w:rPr>
                <w:sz w:val="18"/>
                <w:szCs w:val="18"/>
              </w:rPr>
              <w:t xml:space="preserve">0%</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sz w:val="18"/>
                <w:szCs w:val="18"/>
              </w:rPr>
              <w:t xml:space="preserve">0%</w:t>
            </w:r>
          </w:p>
        </w:tc>
      </w:tr>
    </w:tbl>
    <w:p xmlns:a="http://schemas.openxmlformats.org/drawingml/2006/main" xmlns:pic="http://schemas.openxmlformats.org/drawingml/2006/picture">
      <w:pPr>
        <w:pStyle w:val="MDPI52figure"/>
        <w:ind w:left="2608"/>
        <w:jc w:val="center"/>
      </w:pPr>
      <w:r>
        <w:drawing>
          <wp:inline>
            <wp:extent cx="4989830" cy="2747524"/>
            <wp:effectExtent b="0" l="0" r="0" t="0"/>
            <wp:docPr descr="Forest plot of top-1 Pareto-reranker composite penalty" title="" id="45" name="Picture"/>
            <a:graphic>
              <a:graphicData uri="http://schemas.openxmlformats.org/drawingml/2006/picture">
                <pic:pic>
                  <pic:nvPicPr>
                    <pic:cNvPr descr="../figs/fig_baseline_forest.png" id="46" name="Picture"/>
                    <pic:cNvPicPr>
                      <a:picLocks noChangeArrowheads="1" noChangeAspect="1"/>
                    </pic:cNvPicPr>
                  </pic:nvPicPr>
                  <pic:blipFill>
                    <a:blip r:embed="rId23"/>
                    <a:stretch>
                      <a:fillRect/>
                    </a:stretch>
                  </pic:blipFill>
                  <pic:spPr bwMode="auto">
                    <a:xfrm>
                      <a:off x="0" y="0"/>
                      <a:ext cx="4989830" cy="2747524"/>
                    </a:xfrm>
                    <a:prstGeom prst="rect">
                      <a:avLst/>
                    </a:prstGeom>
                    <a:noFill/>
                    <a:ln w="9525">
                      <a:noFill/>
                      <a:headEnd/>
                      <a:tailEnd/>
                    </a:ln>
                  </pic:spPr>
                </pic:pic>
              </a:graphicData>
            </a:graphic>
          </wp:inline>
        </w:drawing>
      </w:r>
    </w:p>
    <w:p>
      <w:pPr>
        <w:pStyle w:val="MDPI51figurecaption"/>
        <w:ind w:left="2608"/>
      </w:pPr>
      <w:r>
        <w:rPr>
          <w:b/>
          <w:bCs/>
        </w:rPr>
        <w:t xml:space="preserve">Figure 6.</w:t>
      </w:r>
      <w:r>
        <w:t xml:space="preserve"> </w:t>
      </w:r>
      <w:r>
        <w:t xml:space="preserve">Forest plot of top-1 Pareto-reranker composite penalty (mean</w:t>
      </w:r>
      <w:r>
        <w:t xml:space="preserve"> </w:t>
      </w:r>
      <m:oMath>
        <m:r>
          <m:rPr>
            <m:sty m:val="p"/>
          </m:rPr>
          <m:t>±</m:t>
        </m:r>
      </m:oMath>
      <w:r>
        <w:t xml:space="preserve"> </w:t>
      </w:r>
      <w:r>
        <w:t xml:space="preserve">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7 footnotes for cross-method comparability caveats.</w:t>
      </w:r>
    </w:p>
    <w:p>
      <w:pPr>
        <w:pStyle w:val="MDPI31text"/>
        <w:ind w:left="2608"/>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 s</w:t>
      </w:r>
      <w:r>
        <w:rPr>
          <w:vertAlign w:val="superscript"/>
        </w:rPr>
        <w:t xml:space="preserve">−1</w:t>
      </w:r>
      <w:r>
        <w:t xml:space="preserve">,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 s</w:t>
      </w:r>
      <w:r>
        <w:rPr>
          <w:b/>
          <w:bCs/>
          <w:vertAlign w:val="superscript"/>
        </w:rPr>
        <w:t xml:space="preserve">−1</w:t>
      </w:r>
      <w:r>
        <w:rPr>
          <w:b/>
          <w:bCs/>
        </w:rPr>
        <w:t xml:space="preserve"> </w:t>
      </w:r>
      <w:r>
        <w:rPr>
          <w:b/>
          <w:bCs/>
        </w:rPr>
        <w:t xml:space="preserve">but collapses to</w:t>
      </w:r>
      <w:r>
        <w:rPr>
          <w:b/>
          <w:bCs/>
        </w:rPr>
        <w:t xml:space="preserve"> </w:t>
      </w:r>
      <m:oMath>
        <m:sSub>
          <m:e>
            <m:r>
              <m:t>D</m:t>
            </m:r>
          </m:e>
          <m:sub>
            <m:r>
              <m:rPr>
                <m:nor/>
                <m:sty m:val="p"/>
              </m:rPr>
              <m:t>DFT</m:t>
            </m:r>
          </m:sub>
        </m:sSub>
        <m:r>
          <m:rPr>
            <m:sty m:val="p"/>
          </m:rPr>
          <m:t>=</m:t>
        </m:r>
        <m:r>
          <m:t>6.28</m:t>
        </m:r>
      </m:oMath>
      <w:r>
        <w:rPr>
          <w:b/>
          <w:bCs/>
        </w:rPr>
        <w:t xml:space="preserve"> km s</w:t>
      </w:r>
      <w:r>
        <w:rPr>
          <w:b/>
          <w:bCs/>
          <w:vertAlign w:val="superscript"/>
        </w:rPr>
        <w:t xml:space="preserve">−1</w:t>
      </w:r>
      <w:r>
        <w:rPr>
          <w:b/>
          <w:bCs/>
        </w:rPr>
        <w:t xml:space="preserve"> </w:t>
      </w:r>
      <w:r>
        <w:rPr>
          <w:b/>
          <w:bCs/>
        </w:rPr>
        <w:t xml:space="preserve">under the same DFT audit chain applied to DGLD leads (3.5 km s</w:t>
      </w:r>
      <w:r>
        <w:rPr>
          <w:b/>
          <w:bCs/>
          <w:vertAlign w:val="superscript"/>
        </w:rPr>
        <w:t xml:space="preserve">−1</w:t>
      </w:r>
      <w:r>
        <w:rPr>
          <w:b/>
          <w:bCs/>
        </w:rPr>
        <w:t xml:space="preserve"> </w:t>
      </w:r>
      <w:r>
        <w:rPr>
          <w:b/>
          <w:bCs/>
        </w:rPr>
        <w:t xml:space="preserve">surrogate artefact</w:t>
      </w:r>
      <w:r>
        <w:t xml:space="preserve">; the Uni-Mol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Uni-Mol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 s</w:t>
      </w:r>
      <w:r>
        <w:rPr>
          <w:vertAlign w:val="superscript"/>
        </w:rPr>
        <w:t xml:space="preserve">−1</w:t>
      </w:r>
      <w:r>
        <w:t xml:space="preserve">,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 s</w:t>
      </w:r>
      <w:r>
        <w:rPr>
          <w:vertAlign w:val="superscript"/>
        </w:rPr>
        <w:t xml:space="preserve">−1</w:t>
      </w:r>
      <w:r>
        <w:t xml:space="preserve">, 0.37 km s</w:t>
      </w:r>
      <w:r>
        <w:rPr>
          <w:vertAlign w:val="superscript"/>
        </w:rPr>
        <w:t xml:space="preserve">−1</w:t>
      </w:r>
      <w:r>
        <w:t xml:space="preserve"> </w:t>
      </w:r>
      <w:r>
        <w:t xml:space="preserve">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 Supplementary Section E lists the ten most-novel candidates from each baseline pool.</w:t>
      </w:r>
    </w:p>
    <w:p xmlns:a="http://schemas.openxmlformats.org/drawingml/2006/main" xmlns:pic="http://schemas.openxmlformats.org/drawingml/2006/picture">
      <w:pPr>
        <w:pStyle w:val="MDPI52figure"/>
        <w:ind w:left="2608"/>
        <w:jc w:val="center"/>
      </w:pPr>
      <w:r>
        <w:drawing>
          <wp:inline>
            <wp:extent cx="4989830" cy="4005827"/>
            <wp:effectExtent b="0" l="0" r="0" t="0"/>
            <wp:docPr descr="Productive-quadrant scatter: S vs viability for DFT-confirmed leads" title="" id="49" name="Picture"/>
            <a:graphic>
              <a:graphicData uri="http://schemas.openxmlformats.org/drawingml/2006/picture">
                <pic:pic>
                  <pic:nvPicPr>
                    <pic:cNvPr descr="../figs/fig_quadrant_scatter.png" id="50" name="Picture"/>
                    <pic:cNvPicPr>
                      <a:picLocks noChangeArrowheads="1" noChangeAspect="1"/>
                    </pic:cNvPicPr>
                  </pic:nvPicPr>
                  <pic:blipFill>
                    <a:blip r:embed="rId24"/>
                    <a:stretch>
                      <a:fillRect/>
                    </a:stretch>
                  </pic:blipFill>
                  <pic:spPr bwMode="auto">
                    <a:xfrm>
                      <a:off x="0" y="0"/>
                      <a:ext cx="4989830" cy="4005827"/>
                    </a:xfrm>
                    <a:prstGeom prst="rect">
                      <a:avLst/>
                    </a:prstGeom>
                    <a:noFill/>
                    <a:ln w="9525">
                      <a:noFill/>
                      <a:headEnd/>
                      <a:tailEnd/>
                    </a:ln>
                  </pic:spPr>
                </pic:pic>
              </a:graphicData>
            </a:graphic>
          </wp:inline>
        </w:drawing>
      </w:r>
    </w:p>
    <w:p>
      <w:pPr>
        <w:pStyle w:val="MDPI51figurecaption"/>
        <w:ind w:left="2608"/>
      </w:pPr>
      <w:r>
        <w:rPr>
          <w:b/>
          <w:bCs/>
        </w:rPr>
        <w:t xml:space="preserve">Figure 7.</w:t>
      </w:r>
      <w:r>
        <w:t xml:space="preserve"> </w:t>
      </w:r>
      <w:r>
        <w:t xml:space="preserve">Productive-quadrant scatter for the 12 DFT-confirmed lead cards (11 unique) with the four no-diffusion baselines as reference markers.</w:t>
      </w:r>
      <w:r>
        <w:t xml:space="preserve"> </w:t>
      </w:r>
      <m:oMath>
        <m:r>
          <m:t>x</m:t>
        </m:r>
      </m:oMath>
      <w:r>
        <w:t xml:space="preserve">-axis: viability probability (RF classifier, energetic vs ZINC);</w:t>
      </w:r>
      <w:r>
        <w:t xml:space="preserve"> </w:t>
      </w:r>
      <m:oMath>
        <m:r>
          <m:t>y</m:t>
        </m:r>
      </m:oMath>
      <w:r>
        <w:t xml:space="preserve">-axis: composite score</w:t>
      </w:r>
      <w:r>
        <w:t xml:space="preserve"> </w:t>
      </w:r>
      <m:oMath>
        <m:r>
          <m:t>S</m:t>
        </m:r>
      </m:oMath>
      <w:r>
        <w:t xml:space="preserve"> </w:t>
      </w:r>
      <w:r>
        <w:t xml:space="preserve">(higher = better). Dashed lines mark the top-5 thresholds (</w:t>
      </w:r>
      <m:oMath>
        <m:r>
          <m:t>S</m:t>
        </m:r>
        <m:r>
          <m:rPr>
            <m:sty m:val="p"/>
          </m:rPr>
          <m:t>=</m:t>
        </m:r>
        <m:r>
          <m:t>0.65</m:t>
        </m:r>
      </m:oMath>
      <w:r>
        <w:t xml:space="preserve">, viab</w:t>
      </w:r>
      <w:r>
        <w:t xml:space="preserve"> </w:t>
      </w:r>
      <m:oMath>
        <m:r>
          <m:rPr>
            <m:sty m:val="p"/>
          </m:rPr>
          <m:t>=</m:t>
        </m:r>
        <m:r>
          <m:t>0.83</m:t>
        </m:r>
      </m:oMath>
      <w:r>
        <w:t xml:space="preserve">); the green-tinted upper-right quadrant is the productive zone (novel + HMX-class). Marker area is proportional to drop-weight impact sensitivity</w:t>
      </w:r>
      <w:r>
        <w:t xml:space="preserve"> </w:t>
      </w:r>
      <m:oMath>
        <m:sSub>
          <m:e>
            <m:r>
              <m:t>h</m:t>
            </m:r>
          </m:e>
          <m:sub>
            <m:r>
              <m:t>50</m:t>
            </m:r>
          </m:sub>
        </m:sSub>
      </m:oMath>
      <w:r>
        <w:t xml:space="preserve"> </w:t>
      </w:r>
      <w:r>
        <w:t xml:space="preserve">(cm; larger = safer). L1 (guided Hz-C2, red) sits at the top of the productive quadrant; L2–L5 (filled blue, unguided C0) cluster near the threshold boundary; L9–L20 (hollow blue) carry real</w:t>
      </w:r>
      <w:r>
        <w:t xml:space="preserve"> </w:t>
      </w:r>
      <m:oMath>
        <m:sSub>
          <m:e>
            <m:r>
              <m:t>h</m:t>
            </m:r>
          </m:e>
          <m:sub>
            <m:r>
              <m:t>50</m:t>
            </m:r>
          </m:sub>
        </m:sSub>
      </m:oMath>
      <w:r>
        <w:t xml:space="preserve"> </w:t>
      </w:r>
      <w:r>
        <w:t xml:space="preserve">but</w:t>
      </w:r>
      <w:r>
        <w:t xml:space="preserve"> </w:t>
      </w:r>
      <m:oMath>
        <m:r>
          <m:t>S</m:t>
        </m:r>
      </m:oMath>
      <w:r>
        <w:t xml:space="preserve"> </w:t>
      </w:r>
      <w:r>
        <w:t xml:space="preserve">and viability are not tabulated and are placed along the Pareto-floor strip. Baseline markers (</w:t>
      </w:r>
      <m:oMath>
        <m:r>
          <m:t>S</m:t>
        </m:r>
      </m:oMath>
      <w:r>
        <w:t xml:space="preserve"> </w:t>
      </w:r>
      <w:r>
        <w:t xml:space="preserve">not on the DGLD composite scale; placed as reference): SMILES-LSTM (red X, memorised; Tanimoto 1.0), MolMIM 70 M (orange diamond, drug-domain;</w:t>
      </w:r>
      <w:r>
        <w:t xml:space="preserve"> </w:t>
      </w:r>
      <m:oMath>
        <m:r>
          <m:t>D</m:t>
        </m:r>
        <m:r>
          <m:rPr>
            <m:sty m:val="p"/>
          </m:rPr>
          <m:t>=</m:t>
        </m:r>
        <m:r>
          <m:t>7.70</m:t>
        </m:r>
      </m:oMath>
      <w:r>
        <w:t xml:space="preserve"> km s</w:t>
      </w:r>
      <w:r>
        <w:rPr>
          <w:vertAlign w:val="superscript"/>
        </w:rPr>
        <w:t xml:space="preserve">−1</w:t>
      </w:r>
      <w:r>
        <w:t xml:space="preserve">), REINVENT 4 (green square, N-fraction RL; top-1</w:t>
      </w:r>
      <w:r>
        <w:t xml:space="preserve"> </w:t>
      </w:r>
      <m:oMath>
        <m:r>
          <m:t>D</m:t>
        </m:r>
        <m:r>
          <m:rPr>
            <m:sty m:val="p"/>
          </m:rPr>
          <m:t>=</m:t>
        </m:r>
        <m:r>
          <m:t>9.02</m:t>
        </m:r>
      </m:oMath>
      <w:r>
        <w:t xml:space="preserve"> km s</w:t>
      </w:r>
      <w:r>
        <w:rPr>
          <w:vertAlign w:val="superscript"/>
        </w:rPr>
        <w:t xml:space="preserve">−1</w:t>
      </w:r>
      <w:r>
        <w:t xml:space="preserve">, novel), SELFIES-GA (purple, surrogate</w:t>
      </w:r>
      <w:r>
        <w:t xml:space="preserve"> </w:t>
      </w:r>
      <m:oMath>
        <m:r>
          <m:rPr>
            <m:sty m:val="p"/>
          </m:rPr>
          <m:t>→</m:t>
        </m:r>
      </m:oMath>
      <w:r>
        <w:t xml:space="preserve"> </w:t>
      </w:r>
      <w:r>
        <w:t xml:space="preserve">DFT collapse: top-1 falls from</w:t>
      </w:r>
      <w:r>
        <w:t xml:space="preserve"> </w:t>
      </w:r>
      <m:oMath>
        <m:r>
          <m:t>D</m:t>
        </m:r>
        <m:r>
          <m:rPr>
            <m:sty m:val="p"/>
          </m:rPr>
          <m:t>=</m:t>
        </m:r>
        <m:r>
          <m:t>9.73</m:t>
        </m:r>
      </m:oMath>
      <w:r>
        <w:t xml:space="preserve"> </w:t>
      </w:r>
      <w:r>
        <w:t xml:space="preserve">to</w:t>
      </w:r>
      <w:r>
        <w:t xml:space="preserve"> </w:t>
      </w:r>
      <m:oMath>
        <m:r>
          <m:t>6.28</m:t>
        </m:r>
      </m:oMath>
      <w:r>
        <w:t xml:space="preserve"> km s</w:t>
      </w:r>
      <w:r>
        <w:rPr>
          <w:vertAlign w:val="superscript"/>
        </w:rPr>
        <w:t xml:space="preserve">−1</w:t>
      </w:r>
      <w:r>
        <w:t xml:space="preserve"> </w:t>
      </w:r>
      <w:r>
        <w:t xml:space="preserve">under DFT audit). Source:</w:t>
      </w:r>
      <w:r>
        <w:t xml:space="preserve"> </w:t>
      </w:r>
      <m:oMath>
        <m:r>
          <m:t>S</m:t>
        </m:r>
      </m:oMath>
      <w:r>
        <w:t xml:space="preserve">/viab for L1–L5 from Section 2.2 prose;</w:t>
      </w:r>
      <w:r>
        <w:t xml:space="preserve"> </w:t>
      </w:r>
      <m:oMath>
        <m:sSub>
          <m:e>
            <m:r>
              <m:t>h</m:t>
            </m:r>
          </m:e>
          <m:sub>
            <m:r>
              <m:t>50</m:t>
            </m:r>
          </m:sub>
        </m:sSub>
      </m:oMath>
      <w:r>
        <w:t xml:space="preserve"> </w:t>
      </w:r>
      <w:r>
        <w:t xml:space="preserve">from Table S7; baselines from Table 7.</w:t>
      </w:r>
    </w:p>
    <w:p>
      <w:pPr>
        <w:pStyle w:val="MDPI31text"/>
        <w:ind w:left="2608"/>
      </w:pPr>
      <w:r>
        <w:rPr>
          <w:b/>
          <w:bCs/>
        </w:rPr>
        <w:t xml:space="preserve">Note on Figure 7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7, Figure 6, and Table S27. Cross-figure ranking is consistent (DGLD Hz-C2 best on both) but absolute values are not comparable.</w:t>
      </w:r>
    </w:p>
    <w:p>
      <w:pPr>
        <w:pStyle w:val="MDPI31text"/>
        <w:ind w:left="2608"/>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shown in Figure 8, with per-condition values in Supplementary Section D.11.</w:t>
      </w:r>
    </w:p>
    <w:p xmlns:a="http://schemas.openxmlformats.org/drawingml/2006/main" xmlns:pic="http://schemas.openxmlformats.org/drawingml/2006/picture">
      <w:pPr>
        <w:pStyle w:val="MDPI52figure"/>
        <w:ind w:left="2608"/>
        <w:jc w:val="center"/>
      </w:pPr>
      <w:r>
        <w:drawing>
          <wp:inline>
            <wp:extent cx="4989830" cy="2800541"/>
            <wp:effectExtent b="0" l="0" r="0" t="0"/>
            <wp:docPr descr="MOSES-style distribution-learning small multiples" title="" id="53" name="Picture"/>
            <a:graphic>
              <a:graphicData uri="http://schemas.openxmlformats.org/drawingml/2006/picture">
                <pic:pic>
                  <pic:nvPicPr>
                    <pic:cNvPr descr="../figs/fig_moses_small_multiples.png" id="54" name="Picture"/>
                    <pic:cNvPicPr>
                      <a:picLocks noChangeArrowheads="1" noChangeAspect="1"/>
                    </pic:cNvPicPr>
                  </pic:nvPicPr>
                  <pic:blipFill>
                    <a:blip r:embed="rId25"/>
                    <a:stretch>
                      <a:fillRect/>
                    </a:stretch>
                  </pic:blipFill>
                  <pic:spPr bwMode="auto">
                    <a:xfrm>
                      <a:off x="0" y="0"/>
                      <a:ext cx="4989830" cy="2800541"/>
                    </a:xfrm>
                    <a:prstGeom prst="rect">
                      <a:avLst/>
                    </a:prstGeom>
                    <a:noFill/>
                    <a:ln w="9525">
                      <a:noFill/>
                      <a:headEnd/>
                      <a:tailEnd/>
                    </a:ln>
                  </pic:spPr>
                </pic:pic>
              </a:graphicData>
            </a:graphic>
          </wp:inline>
        </w:drawing>
      </w:r>
    </w:p>
    <w:p>
      <w:pPr>
        <w:pStyle w:val="MDPI51figurecaption"/>
        <w:ind w:left="2608"/>
      </w:pPr>
      <w:r>
        <w:rPr>
          <w:b/>
          <w:bCs/>
        </w:rPr>
        <w:t xml:space="preserve">Figure 8.</w:t>
      </w:r>
      <w:r>
        <w:t xml:space="preserve"> </w:t>
      </w:r>
      <w:r>
        <w:t xml:space="preserve">Distribution-learning small-multiples comparing SMILES-LSTM (red) against seven DGLD conditions (blue) on validity proxy, top-100 scaffold uniqueness, internal diversity, and FCD vs the labelled master.</w:t>
      </w:r>
    </w:p>
    <w:p>
      <w:pPr>
        <w:pStyle w:val="MDPI22heading2"/>
        <w:ind w:left="2608"/>
      </w:pPr>
      <w:r>
        <w:t xml:space="preserve">2.6 Ablation summary</w:t>
      </w:r>
    </w:p>
    <w:p>
      <w:pPr>
        <w:pStyle w:val="MDPI32textnoindent"/>
        <w:ind w:left="2608"/>
      </w:pPr>
      <w:r>
        <w:t xml:space="preserve">Seven ablations measure the contribution of each system component to the headline. Table 8 lists the headline result of each; full prose, sub-tables, and figures are in Supplementary Section F. The forest plot of effect sizes (Figure 9) summarises the guidance-axis ablations visually.</w:t>
      </w:r>
    </w:p>
    <w:p>
      <w:pPr>
        <w:pStyle w:val="MDPI41tablecaption"/>
        <w:ind w:left="2608"/>
      </w:pPr>
      <w:r>
        <w:rPr>
          <w:b/>
          <w:bCs/>
        </w:rPr>
        <w:t xml:space="preserve">Table 8.</w:t>
      </w:r>
      <w:r>
        <w:t xml:space="preserve"> </w:t>
      </w:r>
      <w:r>
        <w:t xml:space="preserve">Ablation summary. Each row reports the single headline number from a self-contained ablation; the right column points to the appendix subsection with full prose, sub-tables, and figures.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18"/>
        <w:gridCol w:w="1840"/>
        <w:gridCol w:w="3453"/>
        <w:gridCol w:w="1047"/>
      </w:tblGrid>
      <w:tr>
        <w:trPr>
          <w:tblHeader w:val="on"/>
        </w:trPr>
        <w:tc>
          <w:tcPr>
            <w:tcBorders>
              <w:bottom w:val="single" w:sz="8" w:space="0" w:color="auto"/>
            </w:tcBorders>
            <w:vAlign w:val="center"/>
          </w:tcPr>
          <w:p>
            <w:pPr>
              <w:pStyle w:val="Compact"/>
              <w:suppressAutoHyphens/>
              <w:jc w:val="center"/>
            </w:pPr>
            <w:r>
              <w:rPr>
                <w:b/>
                <w:sz w:val="18"/>
                <w:szCs w:val="18"/>
              </w:rPr>
              <w:t xml:space="preserve">Ablation</w:t>
            </w:r>
          </w:p>
        </w:tc>
        <w:tc>
          <w:tcPr>
            <w:tcBorders>
              <w:bottom w:val="single" w:sz="8" w:space="0" w:color="auto"/>
            </w:tcBorders>
            <w:vAlign w:val="center"/>
          </w:tcPr>
          <w:p>
            <w:pPr>
              <w:pStyle w:val="Compact"/>
              <w:suppressAutoHyphens/>
              <w:jc w:val="center"/>
            </w:pPr>
            <w:r>
              <w:rPr>
                <w:b/>
                <w:sz w:val="18"/>
                <w:szCs w:val="18"/>
              </w:rPr>
              <w:t xml:space="preserve">What is varied</w:t>
            </w:r>
          </w:p>
        </w:tc>
        <w:tc>
          <w:tcPr>
            <w:tcBorders>
              <w:bottom w:val="single" w:sz="8" w:space="0" w:color="auto"/>
            </w:tcBorders>
            <w:vAlign w:val="center"/>
          </w:tcPr>
          <w:p>
            <w:pPr>
              <w:pStyle w:val="Compact"/>
              <w:suppressAutoHyphens/>
              <w:jc w:val="center"/>
            </w:pPr>
            <w:r>
              <w:rPr>
                <w:b/>
                <w:sz w:val="18"/>
                <w:szCs w:val="18"/>
              </w:rPr>
              <w:t xml:space="preserve">Headline result</w:t>
            </w:r>
          </w:p>
        </w:tc>
        <w:tc>
          <w:tcPr>
            <w:tcBorders>
              <w:bottom w:val="single" w:sz="8" w:space="0" w:color="auto"/>
            </w:tcBorders>
            <w:vAlign w:val="center"/>
          </w:tcPr>
          <w:p>
            <w:pPr>
              <w:pStyle w:val="Compact"/>
              <w:suppressAutoHyphens/>
              <w:jc w:val="center"/>
            </w:pPr>
            <w:r>
              <w:rPr>
                <w:b/>
                <w:sz w:val="18"/>
                <w:szCs w:val="18"/>
              </w:rPr>
              <w:t xml:space="preserve">Detail</w:t>
            </w:r>
          </w:p>
        </w:tc>
      </w:tr>
      <w:tr>
        <w:tc>
          <w:tcPr>
            <w:vAlign w:val="center"/>
          </w:tcPr>
          <w:p>
            <w:pPr>
              <w:pStyle w:val="Compact"/>
              <w:suppressAutoHyphens/>
              <w:jc w:val="center"/>
            </w:pPr>
            <w:r>
              <w:rPr>
                <w:b/>
                <w:bCs/>
                <w:sz w:val="18"/>
                <w:szCs w:val="18"/>
              </w:rPr>
              <w:t xml:space="preserve">Tier-gate</w:t>
            </w:r>
          </w:p>
        </w:tc>
        <w:tc>
          <w:tcPr>
            <w:vAlign w:val="center"/>
          </w:tcPr>
          <w:p>
            <w:pPr>
              <w:pStyle w:val="Compact"/>
              <w:suppressAutoHyphens/>
              <w:jc w:val="center"/>
            </w:pPr>
            <w:r>
              <w:rPr>
                <w:sz w:val="18"/>
                <w:szCs w:val="18"/>
              </w:rPr>
              <w:t xml:space="preserve">label-trust mask on / off</w:t>
            </w:r>
          </w:p>
        </w:tc>
        <w:tc>
          <w:tcPr>
            <w:vAlign w:val="center"/>
          </w:tcPr>
          <w:p>
            <w:pPr>
              <w:pStyle w:val="Compact"/>
              <w:suppressAutoHyphens/>
              <w:jc w:val="center"/>
            </w:pPr>
            <w:r>
              <w:rPr>
                <w:sz w:val="18"/>
                <w:szCs w:val="18"/>
              </w:rPr>
              <w:t xml:space="preserve">Keep-rate 4.6 % → 53.9 % when off; sampler collapses to poly-N open chains; val loss +0.089.</w:t>
            </w:r>
          </w:p>
        </w:tc>
        <w:tc>
          <w:tcPr>
            <w:vAlign w:val="center"/>
          </w:tcPr>
          <w:p>
            <w:pPr>
              <w:pStyle w:val="Compact"/>
              <w:suppressAutoHyphens/>
              <w:jc w:val="center"/>
            </w:pPr>
            <w:r>
              <w:rPr>
                <w:sz w:val="18"/>
                <w:szCs w:val="18"/>
              </w:rPr>
              <w:t xml:space="preserve">F.6</w:t>
            </w:r>
          </w:p>
        </w:tc>
      </w:tr>
      <w:tr>
        <w:tc>
          <w:tcPr>
            <w:vAlign w:val="center"/>
          </w:tcPr>
          <w:p>
            <w:pPr>
              <w:pStyle w:val="Compact"/>
              <w:suppressAutoHyphens/>
              <w:jc w:val="center"/>
            </w:pPr>
            <w:r>
              <w:rPr>
                <w:b/>
                <w:bCs/>
                <w:sz w:val="18"/>
                <w:szCs w:val="18"/>
              </w:rPr>
              <w:t xml:space="preserve">Diffusion vs Gaussian prior</w:t>
            </w:r>
          </w:p>
        </w:tc>
        <w:tc>
          <w:tcPr>
            <w:vAlign w:val="center"/>
          </w:tcPr>
          <w:p>
            <w:pPr>
              <w:pStyle w:val="Compact"/>
              <w:suppressAutoHyphens/>
              <w:jc w:val="center"/>
            </w:pPr>
            <w:r>
              <w:rPr>
                <w:sz w:val="18"/>
                <w:szCs w:val="18"/>
              </w:rPr>
              <w:t xml:space="preserve">conditional latent vs</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r>
                <w:rPr>
                  <w:sz w:val="18"/>
                  <w:szCs w:val="18"/>
                </w:rPr>
                <m:t>I</m:t>
              </m:r>
              <m:r>
                <w:rPr>
                  <w:sz w:val="18"/>
                  <w:szCs w:val="18"/>
                </w:rPr>
                <m:rPr>
                  <m:sty m:val="p"/>
                </m:rPr>
                <m:t>)</m:t>
              </m:r>
            </m:oMath>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r>
                <w:rPr>
                  <w:sz w:val="18"/>
                  <w:szCs w:val="18"/>
                </w:rPr>
                <m:rPr>
                  <m:sty m:val="p"/>
                </m:rPr>
                <m:t>=</m:t>
              </m:r>
              <m:r>
                <w:rPr>
                  <w:sz w:val="18"/>
                  <w:szCs w:val="18"/>
                </w:rPr>
                <m:t>9.47</m:t>
              </m:r>
            </m:oMath>
            <w:r>
              <w:rPr>
                <w:sz w:val="18"/>
                <w:szCs w:val="18"/>
              </w:rPr>
              <w:t xml:space="preserve"> </w:t>
            </w:r>
            <w:r>
              <w:rPr>
                <w:sz w:val="18"/>
                <w:szCs w:val="18"/>
              </w:rPr>
              <w:t xml:space="preserve">vs</w:t>
            </w:r>
            <w:r>
              <w:rPr>
                <w:sz w:val="18"/>
                <w:szCs w:val="18"/>
              </w:rPr>
              <w:t xml:space="preserve"> </w:t>
            </w:r>
            <m:oMath>
              <m:r>
                <w:rPr>
                  <w:sz w:val="18"/>
                  <w:szCs w:val="18"/>
                </w:rPr>
                <m:t>9.02</m:t>
              </m:r>
            </m:oMath>
            <w:r>
              <w:rPr>
                <w:sz w:val="18"/>
                <w:szCs w:val="18"/>
              </w:rPr>
              <w:t xml:space="preserve"> km s</w:t>
            </w:r>
            <w:r>
              <w:rPr>
                <w:vertAlign w:val="superscript"/>
                <w:sz w:val="18"/>
                <w:szCs w:val="18"/>
              </w:rPr>
              <w:t xml:space="preserve">−1</w:t>
            </w:r>
            <w:r>
              <w:rPr>
                <w:sz w:val="18"/>
                <w:szCs w:val="18"/>
              </w:rPr>
              <w:t xml:space="preserve"> </w:t>
            </w:r>
            <w:r>
              <w:rPr>
                <w:sz w:val="18"/>
                <w:szCs w:val="18"/>
              </w:rPr>
              <w:t xml:space="preserve">(+0.45); 4.6 % vs 48 % keep-rate reversal shows the prior concentrates on the high-</w:t>
            </w:r>
            <m:oMath>
              <m:r>
                <w:rPr>
                  <w:sz w:val="18"/>
                  <w:szCs w:val="18"/>
                </w:rPr>
                <m:t>D</m:t>
              </m:r>
            </m:oMath>
            <w:r>
              <w:rPr>
                <w:sz w:val="18"/>
                <w:szCs w:val="18"/>
              </w:rPr>
              <w:t xml:space="preserve"> </w:t>
            </w:r>
            <w:r>
              <w:rPr>
                <w:sz w:val="18"/>
                <w:szCs w:val="18"/>
              </w:rPr>
              <w:t xml:space="preserve">tail.</w:t>
            </w:r>
          </w:p>
        </w:tc>
        <w:tc>
          <w:tcPr>
            <w:vAlign w:val="center"/>
          </w:tcPr>
          <w:p>
            <w:pPr>
              <w:pStyle w:val="Compact"/>
              <w:suppressAutoHyphens/>
              <w:jc w:val="center"/>
            </w:pPr>
            <w:r>
              <w:rPr>
                <w:sz w:val="18"/>
                <w:szCs w:val="18"/>
              </w:rPr>
              <w:t xml:space="preserve">F.2</w:t>
            </w:r>
          </w:p>
        </w:tc>
      </w:tr>
      <w:tr>
        <w:tc>
          <w:tcPr>
            <w:vAlign w:val="center"/>
          </w:tcPr>
          <w:p>
            <w:pPr>
              <w:pStyle w:val="Compact"/>
              <w:suppressAutoHyphens/>
              <w:jc w:val="center"/>
            </w:pPr>
            <w:r>
              <w:rPr>
                <w:b/>
                <w:bCs/>
                <w:sz w:val="18"/>
                <w:szCs w:val="18"/>
              </w:rPr>
              <w:t xml:space="preserve">Multi-head guidance</w:t>
            </w:r>
          </w:p>
        </w:tc>
        <w:tc>
          <w:tcPr>
            <w:vAlign w:val="center"/>
          </w:tcPr>
          <w:p>
            <w:pPr>
              <w:pStyle w:val="Compact"/>
              <w:suppressAutoHyphens/>
              <w:jc w:val="center"/>
            </w:pPr>
            <w:r>
              <w:rPr>
                <w:sz w:val="18"/>
                <w:szCs w:val="18"/>
              </w:rPr>
              <w:t xml:space="preserve">C0 / C1 / C2 / C3 head combinations</w:t>
            </w:r>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oMath>
            <w:r>
              <w:rPr>
                <w:sz w:val="18"/>
                <w:szCs w:val="18"/>
              </w:rPr>
              <w:t xml:space="preserve"> </w:t>
            </w:r>
            <w:r>
              <w:rPr>
                <w:sz w:val="18"/>
                <w:szCs w:val="18"/>
              </w:rPr>
              <w:t xml:space="preserve">nearly invariant (9.44–9.53 km s</w:t>
            </w:r>
            <w:r>
              <w:rPr>
                <w:vertAlign w:val="superscript"/>
                <w:sz w:val="18"/>
                <w:szCs w:val="18"/>
              </w:rPr>
              <w:t xml:space="preserve">−1</w:t>
            </w:r>
            <w:r>
              <w:rPr>
                <w:sz w:val="18"/>
                <w:szCs w:val="18"/>
              </w:rPr>
              <w:t xml:space="preserve">); guidance reduces scaffold count from 12 to 5 (production C2 default).</w:t>
            </w:r>
          </w:p>
        </w:tc>
        <w:tc>
          <w:tcPr>
            <w:vAlign w:val="center"/>
          </w:tcPr>
          <w:p>
            <w:pPr>
              <w:pStyle w:val="Compact"/>
              <w:suppressAutoHyphens/>
              <w:jc w:val="center"/>
            </w:pPr>
            <w:r>
              <w:rPr>
                <w:sz w:val="18"/>
                <w:szCs w:val="18"/>
              </w:rPr>
              <w:t xml:space="preserve">F.3</w:t>
            </w:r>
          </w:p>
        </w:tc>
      </w:tr>
      <w:tr>
        <w:tc>
          <w:tcPr>
            <w:vAlign w:val="center"/>
          </w:tcPr>
          <w:p>
            <w:pPr>
              <w:pStyle w:val="Compact"/>
              <w:suppressAutoHyphens/>
              <w:jc w:val="center"/>
            </w:pPr>
            <w:r>
              <w:rPr>
                <w:b/>
                <w:bCs/>
                <w:sz w:val="18"/>
                <w:szCs w:val="18"/>
              </w:rPr>
              <w:t xml:space="preserve">Hazard / SA axis (multi-seed)</w:t>
            </w:r>
          </w:p>
        </w:tc>
        <w:tc>
          <w:tcPr>
            <w:vAlign w:val="center"/>
          </w:tcPr>
          <w:p>
            <w:pPr>
              <w:pStyle w:val="Compact"/>
              <w:suppressAutoHyphens/>
              <w:jc w:val="center"/>
            </w:pPr>
            <w:r>
              <w:rPr>
                <w:sz w:val="18"/>
                <w:szCs w:val="18"/>
              </w:rPr>
              <w:t xml:space="preserve">per-head scale grid × 3 seeds</w:t>
            </w:r>
          </w:p>
        </w:tc>
        <w:tc>
          <w:tcPr>
            <w:vAlign w:val="center"/>
          </w:tcPr>
          <w:p>
            <w:pPr>
              <w:pStyle w:val="Compact"/>
              <w:suppressAutoHyphens/>
              <w:jc w:val="center"/>
            </w:pPr>
            <w:r>
              <w:rPr>
                <w:sz w:val="18"/>
                <w:szCs w:val="18"/>
              </w:rPr>
              <w:t xml:space="preserve">Hz-C2 most novel (max-Tani 0.27 ± 0.03); SA-C3 worsens composite by 13 % (production</w:t>
            </w:r>
            <w:r>
              <w:rPr>
                <w:sz w:val="18"/>
                <w:szCs w:val="18"/>
              </w:rPr>
              <w:t xml:space="preserve"> </w:t>
            </w:r>
            <m:oMath>
              <m:sSub>
                <m:e>
                  <m:r>
                    <w:rPr>
                      <w:sz w:val="18"/>
                      <w:szCs w:val="18"/>
                    </w:rPr>
                    <m:t>s</m:t>
                  </m:r>
                </m:e>
                <m:sub>
                  <m:r>
                    <w:rPr>
                      <w:sz w:val="18"/>
                      <w:szCs w:val="18"/>
                    </w:rPr>
                    <m:rPr>
                      <m:nor/>
                      <m:sty m:val="p"/>
                    </m:rPr>
                    <m:t>SA</m:t>
                  </m:r>
                </m:sub>
              </m:sSub>
              <m:r>
                <w:rPr>
                  <w:sz w:val="18"/>
                  <w:szCs w:val="18"/>
                </w:rPr>
                <m:rPr>
                  <m:sty m:val="p"/>
                </m:rPr>
                <m:t>=</m:t>
              </m:r>
              <m:r>
                <w:rPr>
                  <w:sz w:val="18"/>
                  <w:szCs w:val="18"/>
                </w:rPr>
                <m:t>0</m:t>
              </m:r>
            </m:oMath>
            <w:r>
              <w:rPr>
                <w:sz w:val="18"/>
                <w:szCs w:val="18"/>
              </w:rPr>
              <w:t xml:space="preserve">).</w:t>
            </w:r>
          </w:p>
        </w:tc>
        <w:tc>
          <w:tcPr>
            <w:vAlign w:val="center"/>
          </w:tcPr>
          <w:p>
            <w:pPr>
              <w:pStyle w:val="Compact"/>
              <w:suppressAutoHyphens/>
              <w:jc w:val="center"/>
            </w:pPr>
            <w:r>
              <w:rPr>
                <w:sz w:val="18"/>
                <w:szCs w:val="18"/>
              </w:rPr>
              <w:t xml:space="preserve">F.4</w:t>
            </w:r>
          </w:p>
        </w:tc>
      </w:tr>
      <w:tr>
        <w:tc>
          <w:tcPr>
            <w:vAlign w:val="center"/>
          </w:tcPr>
          <w:p>
            <w:pPr>
              <w:pStyle w:val="Compact"/>
              <w:suppressAutoHyphens/>
              <w:jc w:val="center"/>
            </w:pPr>
            <w:r>
              <w:rPr>
                <w:b/>
                <w:bCs/>
                <w:sz w:val="18"/>
                <w:szCs w:val="18"/>
              </w:rPr>
              <w:t xml:space="preserve">Self-distillation budget</w:t>
            </w:r>
          </w:p>
        </w:tc>
        <w:tc>
          <w:tcPr>
            <w:vAlign w:val="center"/>
          </w:tcPr>
          <w:p>
            <w:pPr>
              <w:pStyle w:val="Compact"/>
              <w:suppressAutoHyphens/>
              <w:jc w:val="center"/>
            </w:pPr>
            <w:r>
              <w:rPr>
                <w:sz w:val="18"/>
                <w:szCs w:val="18"/>
              </w:rPr>
              <w:t xml:space="preserve">137 vs 918 hard negatives</w:t>
            </w:r>
          </w:p>
        </w:tc>
        <w:tc>
          <w:tcPr>
            <w:vAlign w:val="center"/>
          </w:tcPr>
          <w:p>
            <w:pPr>
              <w:pStyle w:val="Compact"/>
              <w:suppressAutoHyphens/>
              <w:jc w:val="center"/>
            </w:pPr>
            <w:r>
              <w:rPr>
                <w:sz w:val="18"/>
                <w:szCs w:val="18"/>
              </w:rPr>
              <w:t xml:space="preserve">Worst-offender model-cheat (gem-tetranitro) demoted by −0.10 absolute at 918; required for steer-off.</w:t>
            </w:r>
          </w:p>
        </w:tc>
        <w:tc>
          <w:tcPr>
            <w:vAlign w:val="center"/>
          </w:tcPr>
          <w:p>
            <w:pPr>
              <w:pStyle w:val="Compact"/>
              <w:suppressAutoHyphens/>
              <w:jc w:val="center"/>
            </w:pPr>
            <w:r>
              <w:rPr>
                <w:sz w:val="18"/>
                <w:szCs w:val="18"/>
              </w:rPr>
              <w:t xml:space="preserve">F.1, D.9</w:t>
            </w:r>
          </w:p>
        </w:tc>
      </w:tr>
      <w:tr>
        <w:tc>
          <w:tcPr>
            <w:vAlign w:val="center"/>
          </w:tcPr>
          <w:p>
            <w:pPr>
              <w:pStyle w:val="Compact"/>
              <w:suppressAutoHyphens/>
              <w:jc w:val="center"/>
            </w:pPr>
            <w:r>
              <w:rPr>
                <w:b/>
                <w:bCs/>
                <w:sz w:val="18"/>
                <w:szCs w:val="18"/>
              </w:rPr>
              <w:t xml:space="preserve">Pool fusion</w:t>
            </w:r>
          </w:p>
        </w:tc>
        <w:tc>
          <w:tcPr>
            <w:vAlign w:val="center"/>
          </w:tcPr>
          <w:p>
            <w:pPr>
              <w:pStyle w:val="Compact"/>
              <w:suppressAutoHyphens/>
              <w:jc w:val="center"/>
            </w:pPr>
            <w:r>
              <w:rPr>
                <w:sz w:val="18"/>
                <w:szCs w:val="18"/>
              </w:rPr>
              <w:t xml:space="preserve">1 lane × 40k vs 5 lanes × 100k</w:t>
            </w:r>
          </w:p>
        </w:tc>
        <w:tc>
          <w:tcPr>
            <w:vAlign w:val="center"/>
          </w:tcPr>
          <w:p>
            <w:pPr>
              <w:pStyle w:val="Compact"/>
              <w:suppressAutoHyphens/>
              <w:jc w:val="center"/>
            </w:pPr>
            <w:r>
              <w:rPr>
                <w:sz w:val="18"/>
                <w:szCs w:val="18"/>
              </w:rPr>
              <w:t xml:space="preserve">Post-filter yield 966 → 4 639 (4.8×); scaffolds 7 → 24; max</w:t>
            </w:r>
            <w:r>
              <w:rPr>
                <w:sz w:val="18"/>
                <w:szCs w:val="18"/>
              </w:rPr>
              <w:t xml:space="preserve"> </w:t>
            </w:r>
            <m:oMath>
              <m:r>
                <w:rPr>
                  <w:sz w:val="18"/>
                  <w:szCs w:val="18"/>
                </w:rPr>
                <m:t>D</m:t>
              </m:r>
            </m:oMath>
            <w:r>
              <w:rPr>
                <w:sz w:val="18"/>
                <w:szCs w:val="18"/>
              </w:rPr>
              <w:t xml:space="preserve"> </w:t>
            </w:r>
            <w:r>
              <w:rPr>
                <w:sz w:val="18"/>
                <w:szCs w:val="18"/>
              </w:rPr>
              <w:t xml:space="preserve">9.51 → 9.79 km s</w:t>
            </w:r>
            <w:r>
              <w:rPr>
                <w:vertAlign w:val="superscript"/>
                <w:sz w:val="18"/>
                <w:szCs w:val="18"/>
              </w:rPr>
              <w:t xml:space="preserve">−1</w:t>
            </w:r>
            <w:r>
              <w:rPr>
                <w:sz w:val="18"/>
                <w:szCs w:val="18"/>
              </w:rPr>
              <w:t xml:space="preserve">.</w:t>
            </w:r>
          </w:p>
        </w:tc>
        <w:tc>
          <w:tcPr>
            <w:vAlign w:val="center"/>
          </w:tcPr>
          <w:p>
            <w:pPr>
              <w:pStyle w:val="Compact"/>
              <w:suppressAutoHyphens/>
              <w:jc w:val="center"/>
            </w:pPr>
            <w:r>
              <w:rPr>
                <w:sz w:val="18"/>
                <w:szCs w:val="18"/>
              </w:rPr>
              <w:t xml:space="preserve">F.5</w:t>
            </w:r>
          </w:p>
        </w:tc>
      </w:tr>
      <w:tr>
        <w:tc>
          <w:tcPr>
            <w:vAlign w:val="center"/>
          </w:tcPr>
          <w:p>
            <w:pPr>
              <w:pStyle w:val="Compact"/>
              <w:suppressAutoHyphens/>
              <w:jc w:val="center"/>
            </w:pPr>
            <w:r>
              <w:rPr>
                <w:b/>
                <w:bCs/>
                <w:sz w:val="18"/>
                <w:szCs w:val="18"/>
              </w:rPr>
              <w:t xml:space="preserve">CFG scale</w:t>
            </w:r>
          </w:p>
        </w:tc>
        <w:tc>
          <w:tcPr>
            <w:vAlign w:val="center"/>
          </w:tcPr>
          <w:p>
            <w:pPr>
              <w:pStyle w:val="Compact"/>
              <w:suppressAutoHyphens/>
              <w:jc w:val="center"/>
            </w:pPr>
            <m:oMath>
              <m:r>
                <w:rPr>
                  <w:sz w:val="18"/>
                  <w:szCs w:val="18"/>
                </w:rPr>
                <m:t>w</m:t>
              </m:r>
              <m:r>
                <w:rPr>
                  <w:sz w:val="18"/>
                  <w:szCs w:val="18"/>
                </w:rPr>
                <m:rPr>
                  <m:sty m:val="p"/>
                </m:rPr>
                <m:t>∈</m:t>
              </m:r>
              <m:r>
                <w:rPr>
                  <w:sz w:val="18"/>
                  <w:szCs w:val="18"/>
                </w:rPr>
                <m:rPr>
                  <m:sty m:val="p"/>
                </m:rPr>
                <m:t>{</m:t>
              </m:r>
              <m:r>
                <w:rPr>
                  <w:sz w:val="18"/>
                  <w:szCs w:val="18"/>
                </w:rPr>
                <m:t>5</m:t>
              </m:r>
              <m:r>
                <w:rPr>
                  <w:sz w:val="18"/>
                  <w:szCs w:val="18"/>
                </w:rPr>
                <m:rPr>
                  <m:sty m:val="p"/>
                </m:rPr>
                <m:t>,</m:t>
              </m:r>
              <m:r>
                <w:rPr>
                  <w:sz w:val="18"/>
                  <w:szCs w:val="18"/>
                </w:rPr>
                <m:t>7</m:t>
              </m:r>
              <m:r>
                <w:rPr>
                  <w:sz w:val="18"/>
                  <w:szCs w:val="18"/>
                </w:rPr>
                <m:rPr>
                  <m:sty m:val="p"/>
                </m:rPr>
                <m:t>,</m:t>
              </m:r>
              <m:r>
                <w:rPr>
                  <w:sz w:val="18"/>
                  <w:szCs w:val="18"/>
                </w:rPr>
                <m:t>9</m:t>
              </m:r>
              <m:r>
                <w:rPr>
                  <w:sz w:val="18"/>
                  <w:szCs w:val="18"/>
                </w:rPr>
                <m:rPr>
                  <m:sty m:val="p"/>
                </m:rPr>
                <m:t>}</m:t>
              </m:r>
            </m:oMath>
          </w:p>
        </w:tc>
        <w:tc>
          <w:tcPr>
            <w:vAlign w:val="center"/>
          </w:tcPr>
          <w:p>
            <w:pPr>
              <w:pStyle w:val="Compact"/>
              <w:suppressAutoHyphens/>
              <w:jc w:val="center"/>
            </w:pPr>
            <m:oMath>
              <m:r>
                <w:rPr>
                  <w:sz w:val="18"/>
                  <w:szCs w:val="18"/>
                </w:rPr>
                <m:t>w</m:t>
              </m:r>
              <m:r>
                <w:rPr>
                  <w:sz w:val="18"/>
                  <w:szCs w:val="18"/>
                </w:rPr>
                <m:rPr>
                  <m:sty m:val="p"/>
                </m:rPr>
                <m:t>=</m:t>
              </m:r>
              <m:r>
                <w:rPr>
                  <w:sz w:val="18"/>
                  <w:szCs w:val="18"/>
                </w:rPr>
                <m:t>7</m:t>
              </m:r>
            </m:oMath>
            <w:r>
              <w:rPr>
                <w:sz w:val="18"/>
                <w:szCs w:val="18"/>
              </w:rPr>
              <w:t xml:space="preserve"> </w:t>
            </w:r>
            <w:r>
              <w:rPr>
                <w:sz w:val="18"/>
                <w:szCs w:val="18"/>
              </w:rPr>
              <w:t xml:space="preserve">is the empirical optimum (983 final candidates vs 528 at</w:t>
            </w:r>
            <w:r>
              <w:rPr>
                <w:sz w:val="18"/>
                <w:szCs w:val="18"/>
              </w:rPr>
              <w:t xml:space="preserve"> </w:t>
            </w:r>
            <m:oMath>
              <m:r>
                <w:rPr>
                  <w:sz w:val="18"/>
                  <w:szCs w:val="18"/>
                </w:rPr>
                <m:t>w</m:t>
              </m:r>
              <m:r>
                <w:rPr>
                  <w:sz w:val="18"/>
                  <w:szCs w:val="18"/>
                </w:rPr>
                <m:rPr>
                  <m:sty m:val="p"/>
                </m:rPr>
                <m:t>=</m:t>
              </m:r>
              <m:r>
                <w:rPr>
                  <w:sz w:val="18"/>
                  <w:szCs w:val="18"/>
                </w:rPr>
                <m:t>5</m:t>
              </m:r>
            </m:oMath>
            <w:r>
              <w:rPr>
                <w:sz w:val="18"/>
                <w:szCs w:val="18"/>
              </w:rPr>
              <w:t xml:space="preserve">, 427 at</w:t>
            </w:r>
            <w:r>
              <w:rPr>
                <w:sz w:val="18"/>
                <w:szCs w:val="18"/>
              </w:rPr>
              <w:t xml:space="preserve"> </w:t>
            </w:r>
            <m:oMath>
              <m:r>
                <w:rPr>
                  <w:sz w:val="18"/>
                  <w:szCs w:val="18"/>
                </w:rPr>
                <m:t>w</m:t>
              </m:r>
              <m:r>
                <w:rPr>
                  <w:sz w:val="18"/>
                  <w:szCs w:val="18"/>
                </w:rPr>
                <m:rPr>
                  <m:sty m:val="p"/>
                </m:rPr>
                <m:t>=</m:t>
              </m:r>
              <m:r>
                <w:rPr>
                  <w:sz w:val="18"/>
                  <w:szCs w:val="18"/>
                </w:rPr>
                <m:t>9</m:t>
              </m:r>
            </m:oMath>
            <w:r>
              <w:rPr>
                <w:sz w:val="18"/>
                <w:szCs w:val="18"/>
              </w:rPr>
              <w:t xml:space="preserve">).</w:t>
            </w:r>
          </w:p>
        </w:tc>
        <w:tc>
          <w:tcPr>
            <w:vAlign w:val="center"/>
          </w:tcPr>
          <w:p>
            <w:pPr>
              <w:pStyle w:val="Compact"/>
              <w:suppressAutoHyphens/>
              <w:jc w:val="center"/>
            </w:pPr>
            <w:r>
              <w:rPr>
                <w:sz w:val="18"/>
                <w:szCs w:val="18"/>
              </w:rPr>
              <w:t xml:space="preserve">Section 4.15, D.8</w:t>
            </w:r>
          </w:p>
        </w:tc>
      </w:tr>
    </w:tbl>
    <w:p xmlns:a="http://schemas.openxmlformats.org/drawingml/2006/main" xmlns:pic="http://schemas.openxmlformats.org/drawingml/2006/picture">
      <w:pPr>
        <w:pStyle w:val="MDPI52figure"/>
        <w:ind w:left="2608"/>
        <w:jc w:val="center"/>
      </w:pPr>
      <w:r>
        <w:drawing>
          <wp:inline>
            <wp:extent cx="4989830" cy="1759125"/>
            <wp:effectExtent b="0" l="0" r="0" t="0"/>
            <wp:docPr descr="Forest plot of guidance ablation effect sizes vs unguided baseline" title="" id="58" name="Picture"/>
            <a:graphic>
              <a:graphicData uri="http://schemas.openxmlformats.org/drawingml/2006/picture">
                <pic:pic>
                  <pic:nvPicPr>
                    <pic:cNvPr descr="../figs/fig_forest_ablation.png" id="59" name="Picture"/>
                    <pic:cNvPicPr>
                      <a:picLocks noChangeArrowheads="1" noChangeAspect="1"/>
                    </pic:cNvPicPr>
                  </pic:nvPicPr>
                  <pic:blipFill>
                    <a:blip r:embed="rId26"/>
                    <a:stretch>
                      <a:fillRect/>
                    </a:stretch>
                  </pic:blipFill>
                  <pic:spPr bwMode="auto">
                    <a:xfrm>
                      <a:off x="0" y="0"/>
                      <a:ext cx="4989830" cy="1759125"/>
                    </a:xfrm>
                    <a:prstGeom prst="rect">
                      <a:avLst/>
                    </a:prstGeom>
                    <a:noFill/>
                    <a:ln w="9525">
                      <a:noFill/>
                      <a:headEnd/>
                      <a:tailEnd/>
                    </a:ln>
                  </pic:spPr>
                </pic:pic>
              </a:graphicData>
            </a:graphic>
          </wp:inline>
        </w:drawing>
      </w:r>
    </w:p>
    <w:p>
      <w:pPr>
        <w:pStyle w:val="MDPI51figurecaption"/>
        <w:ind w:left="2608"/>
      </w:pPr>
      <w:r>
        <w:rPr>
          <w:b/>
          <w:bCs/>
        </w:rPr>
        <w:t xml:space="preserve">Figure 9.</w:t>
      </w:r>
      <w:r>
        <w:t xml:space="preserve"> </w:t>
      </w:r>
      <w:r>
        <w:t xml:space="preserve">Guidance-ablation forest plot. Each panel shows the effect size (delta vs unguided Hz-C0 = SA-C0 baseline) for one metric across the six guided conditions. Error bars are propagated standard errors. Composite and max-Tanimoto: negative delta is improvement;</w:t>
      </w:r>
      <w:r>
        <w:t xml:space="preserve"> </w:t>
      </w:r>
      <m:oMath>
        <m:r>
          <m:t>D</m:t>
        </m:r>
      </m:oMath>
      <w:r>
        <w:t xml:space="preserve"> </w:t>
      </w:r>
      <w:r>
        <w:t xml:space="preserve">and</w:t>
      </w:r>
      <w:r>
        <w:t xml:space="preserve"> </w:t>
      </w:r>
      <m:oMath>
        <m:r>
          <m:t>P</m:t>
        </m:r>
      </m:oMath>
      <w:r>
        <w:t xml:space="preserve">: positive delta is improvement. Hz-C2 is the best joint novelty condition; SA-axis conditions consistently trade novelty for composite improvement (production sets</w:t>
      </w:r>
      <w:r>
        <w:t xml:space="preserve"> </w:t>
      </w:r>
      <m:oMath>
        <m:sSub>
          <m:e>
            <m:r>
              <m:t>s</m:t>
            </m:r>
          </m:e>
          <m:sub>
            <m:r>
              <m:rPr>
                <m:nor/>
                <m:sty m:val="p"/>
              </m:rPr>
              <m:t>SA</m:t>
            </m:r>
          </m:sub>
        </m:sSub>
        <m:r>
          <m:rPr>
            <m:sty m:val="p"/>
          </m:rPr>
          <m:t>=</m:t>
        </m:r>
        <m:r>
          <m:t>0</m:t>
        </m:r>
      </m:oMath>
      <w:r>
        <w:t xml:space="preserve">).</w:t>
      </w:r>
    </w:p>
    <w:p>
      <w:pPr>
        <w:pStyle w:val="MDPI31text"/>
        <w:ind w:left="2608"/>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 s</w:t>
      </w:r>
      <w:r>
        <w:rPr>
          <w:vertAlign w:val="superscript"/>
        </w:rPr>
        <w:t xml:space="preserve">−1</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MDPI31text"/>
        <w:ind w:left="2608"/>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with top-1</w:t>
      </w:r>
      <w:r>
        <w:t xml:space="preserve"> </w:t>
      </w:r>
      <m:oMath>
        <m:r>
          <m:t>D</m:t>
        </m:r>
      </m:oMath>
      <w:r>
        <w:t xml:space="preserve"> </w:t>
      </w:r>
      <w:r>
        <w:t xml:space="preserve">invariant across conditions; the qualitative ablation conclusions are robust to seed across all six guidance axes (Table S27, full multi-seed table). The 6-seed unguided baseline gives the tightest mean (top-1 composite 0.451 ± 0.126); the SA-axis SA-C3 (viab+sens+SA) is the worst at 0.698 ± 0.015.</w:t>
      </w:r>
    </w:p>
    <w:p>
      <w:pPr>
        <w:pStyle w:val="MDPI31text"/>
        <w:ind w:left="2608"/>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(Supplementary Section B.4 contains the full SA / SC drug-domain transfer-head story).</w:t>
      </w:r>
    </w:p>
    <w:p>
      <w:pPr>
        <w:pStyle w:val="MDPI21heading1"/>
        <w:ind w:left="2608"/>
      </w:pPr>
      <w:r>
        <w:t xml:space="preserve">3. Discussion</w:t>
      </w:r>
    </w:p>
    <w:p>
      <w:pPr>
        <w:pStyle w:val="MDPI32textnoindent"/>
        <w:ind w:left="2608"/>
      </w:pPr>
      <w:r>
        <w:t xml:space="preserve">DGLD’s central result is that tier-gated training and switchable sample-time steering together make a latent diffusion model a</w:t>
      </w:r>
      <w:r>
        <w:t xml:space="preserve"> </w:t>
      </w:r>
      <w:r>
        <w:rPr>
          <w:i/>
          <w:iCs/>
        </w:rPr>
        <w:t xml:space="preserve">productive-quadrant generator</w:t>
      </w:r>
      <w:r>
        <w:t xml:space="preserve">: the tier gate keeps miscalibrated labels out of the conditional gradient, so sampling concentrates where candidates are both novel and, under first-principles validation, competitive with the HMX/PETN reference class. The two top-ranked leads, L1 (3,4,5-trinitro-1,2-isoxazole) and E1 (4-nitro-1,2,3,5-oxatriazole), come from disjoint chemotype families on a single sampling run, so DGLD’s productive-quadrant coverage spans multiple scaffold classes (E1’s placement pending an oxatriazole-class DFT anchor). The mechanism that makes this possible is the label-trust gate: routing only the ~3,000 rows that carry a trustworthy experimental or DFT label on the target detonation channels into the conditional gradient, while the remaining lower-confidence labels train only the unconditional prior, prevents miscalibrated Kamlet–Jacobs and surrogate labels from steering generation toward physically implausible high-scoring regions, the failure mode visible in the SELFIES-GA baseline, whose best novel candidate loses 3.5 km s</w:t>
      </w:r>
      <w:r>
        <w:rPr>
          <w:vertAlign w:val="superscript"/>
        </w:rPr>
        <w:t xml:space="preserve">−1</w:t>
      </w:r>
      <w:r>
        <w:t xml:space="preserve"> </w:t>
      </w:r>
      <w:r>
        <w:t xml:space="preserve">under DFT audit.</w:t>
      </w:r>
    </w:p>
    <w:p>
      <w:pPr>
        <w:pStyle w:val="MDPI31text"/>
        <w:ind w:left="2608"/>
      </w:pPr>
      <w:r>
        <w:t xml:space="preserve">Relative to prior work, DGLD occupies a distinct position. Discriminative property surrogates score candidates but do not propose them; generative language models trained on energetic corpora tend to memorise, as the SMILES-LSTM baseline’s 18.3% exact-rediscovery rate shows; and standard classifier guidance degrades over the short trajectories molecular generation requires. By coupling generative inverse design to a graded validation funnel that ends in density-functional theory, DGLD converts a sparse-label liability into a usable training signal and returns a ranked, physics-checked candidate list rather than an unvalidated pool. Because the gating mechanism depends only on the availability of a trust hierarchy over labels (not on any energetic-materials-specific structure), the recipe should transfer to other data-limited inverse-design settings, with only the validation funnel changing per domain.</w:t>
      </w:r>
    </w:p>
    <w:p>
      <w:pPr>
        <w:pStyle w:val="MDPI22heading2"/>
        <w:ind w:left="2608"/>
      </w:pPr>
      <w:r>
        <w:t xml:space="preserve">3.1. Limitations</w:t>
      </w:r>
    </w:p>
    <w:p>
      <w:pPr>
        <w:pStyle w:val="MDPI32textnoindent"/>
        <w:ind w:left="2608"/>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(Supplementary Section C.3); a ±5% packing-factor error alone propagates to ±0.10 g 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 s</w:t>
      </w:r>
      <w:r>
        <w:rPr>
          <w:vertAlign w:val="superscript"/>
        </w:rPr>
        <w:t xml:space="preserve">−1</w:t>
      </w:r>
      <w:r>
        <w:t xml:space="preserve"> </w:t>
      </w:r>
      <w:r>
        <w:t xml:space="preserve">per g cm</w:t>
      </w:r>
      <w:r>
        <w:rPr>
          <w:vertAlign w:val="superscript"/>
        </w:rPr>
        <w:t xml:space="preserve">−3</w:t>
      </w:r>
      <w:r>
        <w:t xml:space="preserve"> </w:t>
      </w:r>
      <w:r>
        <w:t xml:space="preserve">(Table 2) yields ±0.29 km s</w:t>
      </w:r>
      <w:r>
        <w:rPr>
          <w:vertAlign w:val="superscript"/>
        </w:rPr>
        <w:t xml:space="preserve">−1</w:t>
      </w:r>
      <w:r>
        <w:t xml:space="preserve"> </w:t>
      </w:r>
      <w:r>
        <w:t xml:space="preserve">in</w:t>
      </w:r>
      <w:r>
        <w:t xml:space="preserve"> </w:t>
      </w:r>
      <m:oMath>
        <m:r>
          <m:t>D</m:t>
        </m:r>
      </m:oMath>
      <w:r>
        <w:t xml:space="preserve">, comparable to the 6-anchor calibration uncertainty of ±0.23 km s</w:t>
      </w:r>
      <w:r>
        <w:rPr>
          <w:vertAlign w:val="superscript"/>
        </w:rPr>
        <w:t xml:space="preserve">−1</w:t>
      </w:r>
      <w:r>
        <w:t xml:space="preserve">.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 cm</w:t>
      </w:r>
      <w:r>
        <w:rPr>
          <w:vertAlign w:val="superscript"/>
        </w:rPr>
        <w:t xml:space="preserve">−3</w:t>
      </w:r>
      <w:r>
        <w:t xml:space="preserve"> </w:t>
      </w:r>
      <w:r>
        <w:t xml:space="preserve">(Supplementary Section 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w:t>
      </w:r>
      <w:r>
        <w:t xml:space="preserve"> </w:t>
      </w:r>
      <w:hyperlink w:anchor="ref-csp-cgd-2023">
        <w:r>
          <w:rPr>
            <w:rStyle w:val="Hyperlink"/>
          </w:rPr>
          <w:t xml:space="preserve">[66]</w:t>
        </w:r>
      </w:hyperlink>
      <w:r>
        <w:t xml:space="preserve"> </w:t>
      </w:r>
      <w:r>
        <w:t xml:space="preserve">demonstrate that polymorph screening is feasible at this candidate-list scale.</w:t>
      </w:r>
    </w:p>
    <w:p>
      <w:pPr>
        <w:pStyle w:val="MDPI31text"/>
        <w:ind w:left="2608"/>
      </w:pPr>
      <w:r>
        <w:rPr>
          <w:b/>
          <w:bCs/>
        </w:rPr>
        <w:t xml:space="preserve">Independent cross-checks on L1 and E1.</w:t>
      </w:r>
      <w:r>
        <w:t xml:space="preserve"> </w:t>
      </w:r>
      <w:r>
        <w:t xml:space="preserve">Two independent semi-empirical cross-checks confirm conservative bounds. A Bondi-vdW packing-factor bracket on L1 and E1 (Supplementary Section C.9)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(Supplementary Section C.10) places the weakest-bond cleavage of L1 at 86 kcal mol</w:t>
      </w:r>
      <w:r>
        <w:rPr>
          <w:vertAlign w:val="superscript"/>
        </w:rPr>
        <w:t xml:space="preserve">−1</w:t>
      </w:r>
      <w:r>
        <w:t xml:space="preserve"> </w:t>
      </w:r>
      <w:r>
        <w:t xml:space="preserve">and E1 at 93 kcal mol</w:t>
      </w:r>
      <w:r>
        <w:rPr>
          <w:vertAlign w:val="superscript"/>
        </w:rPr>
        <w:t xml:space="preserve">−1</w:t>
      </w:r>
      <w:r>
        <w:t xml:space="preserve">, both on C–NO</w:t>
      </w:r>
      <w:r>
        <w:rPr>
          <w:vertAlign w:val="subscript"/>
        </w:rPr>
        <w:t xml:space="preserve">2</w:t>
      </w:r>
      <w:r>
        <w:t xml:space="preserve"> </w:t>
      </w:r>
      <w:r>
        <w:t xml:space="preserve">nitro-loss channels with no sub-80 kcal mol</w:t>
      </w:r>
      <w:r>
        <w:rPr>
          <w:vertAlign w:val="superscript"/>
        </w:rPr>
        <w:t xml:space="preserve">−1</w:t>
      </w:r>
      <w:r>
        <w:t xml:space="preserve"> </w:t>
      </w:r>
      <w:r>
        <w:t xml:space="preserve">channel that would predict primary-explosive sensitivity.</w:t>
      </w:r>
    </w:p>
    <w:p>
      <w:pPr>
        <w:pStyle w:val="MDPI31text"/>
        <w:ind w:left="2608"/>
      </w:pPr>
      <w:r>
        <w:t xml:space="preserve">The Uni-Mol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is therefore an extrapolation outside the anchor chemical space. DNTF lies outside the calibration's applicability domain (a furazan-class outlier, Supplementary Section C.11), so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 s</w:t>
      </w:r>
      <w:r>
        <w:rPr>
          <w:vertAlign w:val="superscript"/>
        </w:rPr>
        <w:t xml:space="preserve">−1</w:t>
      </w:r>
      <w:r>
        <w:t xml:space="preserve">.</w:t>
      </w:r>
    </w:p>
    <w:p>
      <w:pPr>
        <w:pStyle w:val="MDPI31text"/>
        <w:ind w:left="2608"/>
      </w:pPr>
      <w:r>
        <w:t xml:space="preserve">The 1.5–2 km s</w:t>
      </w:r>
      <w:r>
        <w:rPr>
          <w:vertAlign w:val="superscript"/>
        </w:rPr>
        <w:t xml:space="preserve">−1</w:t>
      </w:r>
      <w:r>
        <w:t xml:space="preserve"> </w:t>
      </w:r>
      <w:r>
        <w:t xml:space="preserve">Kamlet–Jacobs vs Uni-Mol residual reported in Section 2.3 is consistent with the typical disagreement between Kamlet–Jacobs and full Chapman–Jouguet thermochemical-equilibrium codes (EXPLO5, Sućeska et al.; Cheetah-2, Fried–Howard) on high-N CHNO compounds: published benchmarks place this disagreement in the 0.3–1.5 km s</w:t>
      </w:r>
      <w:r>
        <w:rPr>
          <w:vertAlign w:val="superscript"/>
        </w:rPr>
        <w:t xml:space="preserve">−1</w:t>
      </w:r>
      <w:r>
        <w:t xml:space="preserve"> </w:t>
      </w:r>
      <w:r>
        <w:t xml:space="preserve">band for typical organic explosives and at the higher end (1–2 km s</w:t>
      </w:r>
      <w:r>
        <w:rPr>
          <w:vertAlign w:val="superscript"/>
        </w:rPr>
        <w:t xml:space="preserve">−1</w:t>
      </w:r>
      <w:r>
        <w:t xml:space="preserve">) for compounds with N-fraction</w:t>
      </w:r>
      <w:r>
        <w:t xml:space="preserve"> </w:t>
      </w:r>
      <m:oMath>
        <m:r>
          <m:rPr>
            <m:sty m:val="p"/>
          </m:rPr>
          <m:t>≳</m:t>
        </m:r>
        <m:r>
          <m:t>0.4</m:t>
        </m:r>
      </m:oMath>
      <w:r>
        <w:t xml:space="preserve">, where the K-J fixed-product-distribution assumption breaks down. The population-level Section 2.3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Uni-Mol</w:t>
      </w:r>
      <w:r>
        <w:t xml:space="preserve"> </w:t>
      </w:r>
      <m:oMath>
        <m:r>
          <m:t>D</m:t>
        </m:r>
      </m:oMath>
      <w:r>
        <w:t xml:space="preserve"> </w:t>
      </w:r>
      <w:r>
        <w:t xml:space="preserve">should be read as relative-ranking-grade, not absolute-value-grade.</w:t>
      </w:r>
    </w:p>
    <w:p>
      <w:pPr>
        <w:pStyle w:val="MDPI31text"/>
        <w:ind w:left="2608"/>
      </w:pPr>
      <w:r>
        <w:rPr>
          <w:b/>
          <w:bCs/>
        </w:rPr>
        <w:t xml:space="preserve">Public USPTO retrosynthesis templates are drug-domain-biased for energetic-materials chemistry.</w:t>
      </w:r>
      <w:r>
        <w:t xml:space="preserve"> </w:t>
      </w:r>
      <w:r>
        <w:t xml:space="preserve">AiZynthFinder finds a 4-step productive route for L1 (state score 0.50) but not for the eleven remaining lead cards, which reflects the Reaxys-/USPTO-derived template database rather than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MDPI31text"/>
        <w:ind w:left="2608"/>
      </w:pPr>
      <w:r>
        <w:t xml:space="preserve">The statistical scope of the headline numbers is bounded as follows. Supplementary Section F.4 reports a 4-condition × 3-seed head-to-head at pool=10k with a no-diffusion SMILES-LSTM baseline, and Supplementary Section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Supplementary Section F.4 matrix as the variance estimate. Each denoiser is a</w:t>
      </w:r>
      <w:r>
        <w:t xml:space="preserve"> </w:t>
      </w:r>
      <m:oMath>
        <m:r>
          <m:rPr>
            <m:sty m:val="p"/>
          </m:rPr>
          <m:t>∼</m:t>
        </m:r>
      </m:oMath>
      <w:r>
        <w:t xml:space="preserve">6 hr training run; the v4b production architecture is trained at three seeds and the production C2 condition (Hz-C2 viab+sens+hazard, pool = 10k per seed) resampled. Across the 3 denoiser seeds, top-1</w:t>
      </w:r>
      <w:r>
        <w:t xml:space="preserve"> </w:t>
      </w:r>
      <m:oMath>
        <m:r>
          <m:t>D</m:t>
        </m:r>
      </m:oMath>
      <w:r>
        <w:t xml:space="preserve"> </w:t>
      </w:r>
      <w:r>
        <w:t xml:space="preserve">= 9.38</w:t>
      </w:r>
      <w:r>
        <w:t xml:space="preserve"> </w:t>
      </w:r>
      <m:oMath>
        <m:r>
          <m:rPr>
            <m:sty m:val="p"/>
          </m:rPr>
          <m:t>±</m:t>
        </m:r>
      </m:oMath>
      <w:r>
        <w:t xml:space="preserve"> </w:t>
      </w:r>
      <w:r>
        <w:t xml:space="preserve">0.01 km s</w:t>
      </w:r>
      <w:r>
        <w:rPr>
          <w:vertAlign w:val="superscript"/>
        </w:rPr>
        <w:t xml:space="preserve">−1</w:t>
      </w:r>
      <w:r>
        <w:t xml:space="preserve"> </w:t>
      </w:r>
      <w:r>
        <w:t xml:space="preserve">(relative s.d. 0.1%), top-1</w:t>
      </w:r>
      <w:r>
        <w:t xml:space="preserve"> </w:t>
      </w:r>
      <m:oMath>
        <m:r>
          <m:t>ρ</m:t>
        </m:r>
      </m:oMath>
      <w:r>
        <w:t xml:space="preserve"> </w:t>
      </w:r>
      <w:r>
        <w:t xml:space="preserve">= 1.92</w:t>
      </w:r>
      <w:r>
        <w:t xml:space="preserve"> </w:t>
      </w:r>
      <m:oMath>
        <m:r>
          <m:rPr>
            <m:sty m:val="p"/>
          </m:rPr>
          <m:t>±</m:t>
        </m:r>
      </m:oMath>
      <w:r>
        <w:t xml:space="preserve"> </w:t>
      </w:r>
      <w:r>
        <w:t xml:space="preserve">0.01 g 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stable across denoiser-init seeds.</w:t>
      </w:r>
    </w:p>
    <w:p>
      <w:pPr>
        <w:pStyle w:val="MDPI31text"/>
        <w:ind w:left="2608"/>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(Section 2.4: median 0.32, 0/100 within Tanimoto 0.70) is the train-leakage proxy. The Uni-Mol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(Supplementary Section D.3).</w:t>
      </w:r>
    </w:p>
    <w:p>
      <w:pPr>
        <w:pStyle w:val="MDPI21heading1"/>
        <w:ind w:left="2608"/>
      </w:pPr>
      <w:r>
        <w:t xml:space="preserve">4. Materials and Methods</w:t>
      </w:r>
    </w:p>
    <w:p>
      <w:pPr>
        <w:pStyle w:val="MDPI32textnoindent"/>
        <w:ind w:left="2608"/>
      </w:pPr>
      <w:r>
        <w:rPr>
          <w:i/>
          <w:iCs/>
        </w:rPr>
        <w:t xml:space="preserve">Dataset construction (Section 4.1–4.3) and the DGLD model, sampler, and validation funnel (Section 4.4 onward) are described below; full per-component hyperparameters and the DFT protocol are in the Supplementary Information.</w:t>
      </w:r>
    </w:p>
    <w:p>
      <w:pPr>
        <w:pStyle w:val="MDPI31text"/>
        <w:ind w:left="2608"/>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Uni-Mol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Section 4.1.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Supplementary Section A.1 / D. Joint property distributions and per-property histograms over the labelled corpus are shown in Figs 10 and 11; the label-tier composition (Figure 12) sits alongside the four-tier table in Section 4.1; atom-composition statistics over a 30k subsample are shown in Fig S1.</w:t>
      </w:r>
    </w:p>
    <w:p xmlns:a="http://schemas.openxmlformats.org/drawingml/2006/main" xmlns:pic="http://schemas.openxmlformats.org/drawingml/2006/picture">
      <w:pPr>
        <w:pStyle w:val="MDPI52figure"/>
        <w:ind w:left="2608"/>
        <w:jc w:val="center"/>
      </w:pPr>
      <w:r>
        <w:drawing>
          <wp:inline>
            <wp:extent cx="4989830" cy="3564609"/>
            <wp:effectExtent b="0" l="0" r="0" t="0"/>
            <wp:docPr descr="Density vs detonation velocity scatter" title="" id="66" name="Picture"/>
            <a:graphic>
              <a:graphicData uri="http://schemas.openxmlformats.org/drawingml/2006/picture">
                <pic:pic>
                  <pic:nvPicPr>
                    <pic:cNvPr descr="../figs/fig_eda_density_vs_velocity.png" id="67" name="Picture"/>
                    <pic:cNvPicPr>
                      <a:picLocks noChangeArrowheads="1" noChangeAspect="1"/>
                    </pic:cNvPicPr>
                  </pic:nvPicPr>
                  <pic:blipFill>
                    <a:blip r:embed="rId27"/>
                    <a:stretch>
                      <a:fillRect/>
                    </a:stretch>
                  </pic:blipFill>
                  <pic:spPr bwMode="auto">
                    <a:xfrm>
                      <a:off x="0" y="0"/>
                      <a:ext cx="4989830" cy="3564609"/>
                    </a:xfrm>
                    <a:prstGeom prst="rect">
                      <a:avLst/>
                    </a:prstGeom>
                    <a:noFill/>
                    <a:ln w="9525">
                      <a:noFill/>
                      <a:headEnd/>
                      <a:tailEnd/>
                    </a:ln>
                  </pic:spPr>
                </pic:pic>
              </a:graphicData>
            </a:graphic>
          </wp:inline>
        </w:drawing>
      </w:r>
    </w:p>
    <w:p>
      <w:pPr>
        <w:pStyle w:val="MDPI51figurecaption"/>
        <w:ind w:left="2608"/>
      </w:pPr>
      <w:r>
        <w:rPr>
          <w:b/>
          <w:bCs/>
        </w:rPr>
        <w:t xml:space="preserve">Figure 10.</w:t>
      </w:r>
      <w:r>
        <w:t xml:space="preserve"> </w:t>
      </w:r>
      <w:r>
        <w:t xml:space="preserve">Properties of the labelled corpus. Joint distribution of density and detonation velocity, with literature anchors overlaid. The bulk of the labelled distribution sits at</w:t>
      </w:r>
      <w:r>
        <w:t xml:space="preserve"> </w:t>
      </w:r>
      <m:oMath>
        <m:r>
          <m:t>ρ</m:t>
        </m:r>
        <m:r>
          <m:rPr>
            <m:sty m:val="p"/>
          </m:rPr>
          <m:t>&lt;</m:t>
        </m:r>
        <m:r>
          <m:t>1.85</m:t>
        </m:r>
      </m:oMath>
      <w:r>
        <w:t xml:space="preserve">,</w:t>
      </w:r>
      <w:r>
        <w:t xml:space="preserve"> </w:t>
      </w:r>
      <m:oMath>
        <m:r>
          <m:t>D</m:t>
        </m:r>
        <m:r>
          <m:rPr>
            <m:sty m:val="p"/>
          </m:rPr>
          <m:t>&lt;</m:t>
        </m:r>
        <m:r>
          <m:t>8.5</m:t>
        </m:r>
      </m:oMath>
      <w:r>
        <w:t xml:space="preserve"> </w:t>
      </w:r>
      <w:r>
        <w:t xml:space="preserve">km s</w:t>
      </w:r>
      <w:r>
        <w:rPr>
          <w:vertAlign w:val="superscript"/>
        </w:rPr>
        <w:t xml:space="preserve">−1</w:t>
      </w:r>
      <w:r>
        <w:t xml:space="preserve">; the high-tail above</w:t>
      </w:r>
      <w:r>
        <w:t xml:space="preserve"> </w:t>
      </w:r>
      <m:oMath>
        <m:r>
          <m:t>D</m:t>
        </m:r>
        <m:r>
          <m:rPr>
            <m:sty m:val="p"/>
          </m:rPr>
          <m:t>=</m:t>
        </m:r>
        <m:r>
          <m:t>9</m:t>
        </m:r>
      </m:oMath>
      <w:r>
        <w:t xml:space="preserve"> </w:t>
      </w:r>
      <w:r>
        <w:t xml:space="preserve">km s</w:t>
      </w:r>
      <w:r>
        <w:rPr>
          <w:vertAlign w:val="superscript"/>
        </w:rPr>
        <w:t xml:space="preserve">−1</w:t>
      </w:r>
      <w:r>
        <w:t xml:space="preserve"> </w:t>
      </w:r>
      <w:r>
        <w:t xml:space="preserve">contains only a handful of compounds (CL-20, HMX, RDX-class). Generation must extrapolate into this tail.</w:t>
      </w:r>
    </w:p>
    <w:p xmlns:a="http://schemas.openxmlformats.org/drawingml/2006/main" xmlns:pic="http://schemas.openxmlformats.org/drawingml/2006/picture">
      <w:pPr>
        <w:pStyle w:val="MDPI52figure"/>
        <w:ind w:left="2608"/>
        <w:jc w:val="center"/>
      </w:pPr>
      <w:r>
        <w:drawing>
          <wp:inline>
            <wp:extent cx="4989830" cy="3414914"/>
            <wp:effectExtent b="0" l="0" r="0" t="0"/>
            <wp:docPr descr="Property histograms" title="" id="69" name="Picture"/>
            <a:graphic>
              <a:graphicData uri="http://schemas.openxmlformats.org/drawingml/2006/picture">
                <pic:pic>
                  <pic:nvPicPr>
                    <pic:cNvPr descr="../figs/fig_eda_property_hists.png" id="70" name="Picture"/>
                    <pic:cNvPicPr>
                      <a:picLocks noChangeArrowheads="1" noChangeAspect="1"/>
                    </pic:cNvPicPr>
                  </pic:nvPicPr>
                  <pic:blipFill>
                    <a:blip r:embed="rId28"/>
                    <a:stretch>
                      <a:fillRect/>
                    </a:stretch>
                  </pic:blipFill>
                  <pic:spPr bwMode="auto">
                    <a:xfrm>
                      <a:off x="0" y="0"/>
                      <a:ext cx="4989830" cy="3414914"/>
                    </a:xfrm>
                    <a:prstGeom prst="rect">
                      <a:avLst/>
                    </a:prstGeom>
                    <a:noFill/>
                    <a:ln w="9525">
                      <a:noFill/>
                      <a:headEnd/>
                      <a:tailEnd/>
                    </a:ln>
                  </pic:spPr>
                </pic:pic>
              </a:graphicData>
            </a:graphic>
          </wp:inline>
        </w:drawing>
      </w:r>
    </w:p>
    <w:p>
      <w:pPr>
        <w:pStyle w:val="MDPI51figurecaption"/>
        <w:ind w:left="2608"/>
      </w:pPr>
      <w:r>
        <w:rPr>
          <w:b/>
          <w:bCs/>
        </w:rPr>
        <w:t xml:space="preserve">Figure 11.</w:t>
      </w:r>
      <w:r>
        <w:t xml:space="preserve"> </w:t>
      </w:r>
      <w:r>
        <w:t xml:space="preserve">Per-property histograms over the labelled corpus. Density and detonation velocity are sharply peaked; HOF has a heavy tail that the high-tail-oversampling recipe (Section 4.3) is designed to amplify during conditioning.</w:t>
      </w:r>
    </w:p>
    <w:p>
      <w:pPr>
        <w:pStyle w:val="MDPI22heading2"/>
        <w:ind w:left="2608"/>
      </w:pPr>
      <w:r>
        <w:t xml:space="preserve">4.1 Four-tier label hierarchy</w:t>
      </w:r>
    </w:p>
    <w:p>
      <w:pPr>
        <w:pStyle w:val="MDPI32textnoindent"/>
        <w:ind w:left="2608"/>
      </w:pPr>
      <w:r>
        <w:t xml:space="preserve">Available property labels in the energetic-materials literature span four orders of reliability, from a small core of experimental measurements to a large majority of model-derived estimates. Concatenating all tiers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(Section 4.6). Each label per row carries one of the following tiers:</w:t>
      </w:r>
    </w:p>
    <w:p xmlns:a="http://schemas.openxmlformats.org/drawingml/2006/main" xmlns:pic="http://schemas.openxmlformats.org/drawingml/2006/picture">
      <w:pPr>
        <w:pStyle w:val="MDPI52figure"/>
        <w:ind w:left="2608"/>
        <w:jc w:val="center"/>
      </w:pPr>
      <w:r>
        <w:drawing>
          <wp:inline>
            <wp:extent cx="4989830" cy="3118643"/>
            <wp:effectExtent b="0" l="0" r="0" t="0"/>
            <wp:docPr descr="Tier composition pies" title="" id="72" name="Picture"/>
            <a:graphic>
              <a:graphicData uri="http://schemas.openxmlformats.org/drawingml/2006/picture">
                <pic:pic>
                  <pic:nvPicPr>
                    <pic:cNvPr descr="../figs/fig_eda_tier_composition.png" id="73" name="Picture"/>
                    <pic:cNvPicPr>
                      <a:picLocks noChangeArrowheads="1" noChangeAspect="1"/>
                    </pic:cNvPicPr>
                  </pic:nvPicPr>
                  <pic:blipFill>
                    <a:blip r:embed="rId29"/>
                    <a:stretch>
                      <a:fillRect/>
                    </a:stretch>
                  </pic:blipFill>
                  <pic:spPr bwMode="auto">
                    <a:xfrm>
                      <a:off x="0" y="0"/>
                      <a:ext cx="4989830" cy="3118643"/>
                    </a:xfrm>
                    <a:prstGeom prst="rect">
                      <a:avLst/>
                    </a:prstGeom>
                    <a:noFill/>
                    <a:ln w="9525">
                      <a:noFill/>
                      <a:headEnd/>
                      <a:tailEnd/>
                    </a:ln>
                  </pic:spPr>
                </pic:pic>
              </a:graphicData>
            </a:graphic>
          </wp:inline>
        </w:drawing>
      </w:r>
    </w:p>
    <w:p>
      <w:pPr>
        <w:pStyle w:val="MDPI51figurecaption"/>
        <w:ind w:left="2608"/>
      </w:pPr>
      <w:r>
        <w:rPr>
          <w:b/>
          <w:bCs/>
        </w:rPr>
        <w:t xml:space="preserve">Figure 12.</w:t>
      </w:r>
      <w:r>
        <w:t xml:space="preserve"> </w:t>
      </w:r>
      <w:r>
        <w:t xml:space="preserve">Label-tier composition by property (tiers defined in Table 9 below): experimental Tier-A and DFT-derived Tier-B labels are present for only a small fraction of rows on each axis, while Kamlet–Jacobs Tier-C and Uni-Mol Tier-D labels dominate by volume. Trust-gating decouples corpus volume from conditional-signal quality.</w:t>
      </w:r>
    </w:p>
    <w:p>
      <w:pPr>
        <w:pStyle w:val="MDPI41tablecaption"/>
        <w:ind w:left="2608"/>
      </w:pPr>
      <w:r>
        <w:rPr>
          <w:b/>
          <w:bCs/>
        </w:rPr>
        <w:t xml:space="preserve">Table 9.</w:t>
      </w:r>
      <w:r>
        <w:t xml:space="preserve"> </w:t>
      </w:r>
      <w:r>
        <w:t xml:space="preserve">Four-tier label-trust hierarchy. Tier-A (experimental) and Tier-B (DFT/thermochemical-derived) drive the conditional gradient via FiLM modulation; Tier-C (Kamlet–Jacobs derived) and Tier-D (ML surrogate) train the unconditional prior via classifier-free-guidance dropout (Section 4.6). Counts give the number of master rows carrying at least one label at that tier; a row can carry labels at several tiers across different properties, so the counts do not partition the 65 980-row master. Tier-A is dominated by experimental crystallographic densities</w:t>
      </w:r>
      <w:r>
        <w:t xml:space="preserve"> </w:t>
      </w:r>
      <w:hyperlink w:anchor="ref-emdb">
        <w:r>
          <w:rPr>
            <w:rStyle w:val="Hyperlink"/>
          </w:rPr>
          <w:t xml:space="preserve">[67]</w:t>
        </w:r>
      </w:hyperlink>
      <w:r>
        <w:t xml:space="preserve">; only ~3 000 rows carry a trusted (Tier-A/B) label on the target detonation channels (</w:t>
      </w:r>
      <m:oMath>
        <m:r>
          <m:t>D</m:t>
        </m:r>
      </m:oMath>
      <w:r>
        <w:t xml:space="preserve">,</w:t>
      </w:r>
      <w:r>
        <w:t xml:space="preserve"> </w:t>
      </w:r>
      <m:oMath>
        <m:r>
          <m:t>P</m:t>
        </m:r>
      </m:oMath>
      <w:r>
        <w:t xml:space="preserve">, HOF) that steer conditioning.</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42"/>
        <w:gridCol w:w="5044"/>
        <w:gridCol w:w="646"/>
        <w:gridCol w:w="1626"/>
      </w:tblGrid>
      <w:tr>
        <w:trPr>
          <w:tblHeader w:val="on"/>
        </w:trPr>
        <w:tc>
          <w:tcPr>
            <w:tcBorders>
              <w:bottom w:val="single" w:sz="8" w:space="0" w:color="auto"/>
            </w:tcBorders>
            <w:vAlign w:val="center"/>
          </w:tcPr>
          <w:p>
            <w:pPr>
              <w:pStyle w:val="Compact"/>
              <w:suppressAutoHyphens/>
              <w:jc w:val="center"/>
            </w:pPr>
            <w:r>
              <w:rPr>
                <w:b/>
                <w:sz w:val="18"/>
                <w:szCs w:val="18"/>
              </w:rPr>
              <w:t xml:space="preserve">Tier</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 rows</w:t>
            </w:r>
          </w:p>
        </w:tc>
        <w:tc>
          <w:tcPr>
            <w:tcBorders>
              <w:bottom w:val="single" w:sz="8" w:space="0" w:color="auto"/>
            </w:tcBorders>
            <w:vAlign w:val="center"/>
          </w:tcPr>
          <w:p>
            <w:pPr>
              <w:pStyle w:val="Compact"/>
              <w:suppressAutoHyphens/>
              <w:jc w:val="center"/>
            </w:pPr>
            <w:r>
              <w:rPr>
                <w:b/>
                <w:sz w:val="18"/>
                <w:szCs w:val="18"/>
              </w:rPr>
              <w:t xml:space="preserve">Trusted for conditioning?</w:t>
            </w:r>
          </w:p>
        </w:tc>
      </w:tr>
      <w:tr>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r>
              <w:rPr>
                <w:sz w:val="18"/>
                <w:szCs w:val="18"/>
              </w:rPr>
              <w:t xml:space="preserve">Experimental measurement (crystallographic densities; measured detonation properties)</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r>
              <w:rPr>
                <w:sz w:val="18"/>
                <w:szCs w:val="18"/>
              </w:rPr>
              <w:t xml:space="preserve">DFT/thermochemical-derived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r>
              <w:rPr>
                <w:sz w:val="18"/>
                <w:szCs w:val="18"/>
              </w:rPr>
              <w:t xml:space="preserve">Kamlet–Jacobs derived from quoted density &amp; HOF (regime-limited: reliable for oxygen-deficient CHNO with</w:t>
            </w:r>
            <w:r>
              <w:rPr>
                <w:sz w:val="18"/>
                <w:szCs w:val="18"/>
              </w:rPr>
              <w:t xml:space="preserve"> </w:t>
            </w:r>
            <m:oMath>
              <m:r>
                <w:rPr>
                  <w:sz w:val="18"/>
                  <w:szCs w:val="18"/>
                </w:rPr>
                <m:t>2</m:t>
              </m:r>
              <m:r>
                <w:rPr>
                  <w:sz w:val="18"/>
                  <w:szCs w:val="18"/>
                </w:rPr>
                <m:t>a</m:t>
              </m:r>
              <m:r>
                <w:rPr>
                  <w:sz w:val="18"/>
                  <w:szCs w:val="18"/>
                </w:rPr>
                <m:rPr>
                  <m:sty m:val="p"/>
                </m:rPr>
                <m:t>+</m:t>
              </m:r>
              <m:r>
                <w:rPr>
                  <w:sz w:val="18"/>
                  <w:szCs w:val="18"/>
                </w:rPr>
                <m:t>b</m:t>
              </m:r>
              <m:r>
                <w:rPr>
                  <w:sz w:val="18"/>
                  <w:szCs w:val="18"/>
                </w:rPr>
                <m:rPr>
                  <m:sty m:val="p"/>
                </m:rPr>
                <m:t>/</m:t>
              </m:r>
              <m:r>
                <w:rPr>
                  <w:sz w:val="18"/>
                  <w:szCs w:val="18"/>
                </w:rPr>
                <m:t>2</m:t>
              </m:r>
              <m:r>
                <w:rPr>
                  <w:sz w:val="18"/>
                  <w:szCs w:val="18"/>
                </w:rPr>
                <m:rPr>
                  <m:sty m:val="p"/>
                </m:rPr>
                <m:t>≥</m:t>
              </m:r>
              <m:r>
                <w:rPr>
                  <w:sz w:val="18"/>
                  <w:szCs w:val="18"/>
                </w:rPr>
                <m:t>d</m:t>
              </m:r>
              <m:r>
                <w:rPr>
                  <w:sz w:val="18"/>
                  <w:szCs w:val="18"/>
                </w:rPr>
                <m:rPr>
                  <m:sty m:val="p"/>
                </m:rPr>
                <m:t>≥</m:t>
              </m:r>
              <m:r>
                <w:rPr>
                  <w:sz w:val="18"/>
                  <w:szCs w:val="18"/>
                </w:rPr>
                <m:t>b</m:t>
              </m:r>
              <m:r>
                <w:rPr>
                  <w:sz w:val="18"/>
                  <w:szCs w:val="18"/>
                </w:rPr>
                <m:rPr>
                  <m:sty m:val="p"/>
                </m:rPr>
                <m:t>/</m:t>
              </m:r>
              <m:r>
                <w:rPr>
                  <w:sz w:val="18"/>
                  <w:szCs w:val="18"/>
                </w:rPr>
                <m:t>2</m:t>
              </m:r>
            </m:oMath>
            <w:r>
              <w:rPr>
                <w:sz w:val="18"/>
                <w:szCs w:val="18"/>
              </w:rPr>
              <w:t xml:space="preserve">; under-predicts</w:t>
            </w:r>
            <w:r>
              <w:rPr>
                <w:sz w:val="18"/>
                <w:szCs w:val="18"/>
              </w:rPr>
              <w:t xml:space="preserve"> </w:t>
            </w:r>
            <m:oMath>
              <m:r>
                <w:rPr>
                  <w:sz w:val="18"/>
                  <w:szCs w:val="18"/>
                </w:rPr>
                <m:t>D</m:t>
              </m:r>
            </m:oMath>
            <w:r>
              <w:rPr>
                <w:sz w:val="18"/>
                <w:szCs w:val="18"/>
              </w:rPr>
              <w:t xml:space="preserve"> </w:t>
            </w:r>
            <w:r>
              <w:rPr>
                <w:sz w:val="18"/>
                <w:szCs w:val="18"/>
              </w:rPr>
              <w:t xml:space="preserve">for high-N low-H compounds where the assumed gas-product distribution is wrong)</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no (mask out)</w:t>
            </w:r>
          </w:p>
        </w:tc>
      </w:tr>
      <w:tr>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ML surrogate (Uni-Mol smoke ensemble; generative-model predictions)</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no (mask out)</w:t>
            </w:r>
          </w:p>
        </w:tc>
      </w:tr>
    </w:tbl>
    <w:p>
      <w:pPr>
        <w:pStyle w:val="MDPI31text"/>
        <w:ind w:left="2608"/>
      </w:pPr>
      <w:r>
        <w:t xml:space="preserve">The denoiser conditional gradient fires only on Tier-A and Tier-B rows; Tier-C and Tier-D rows train the unconditional prior via classifier-free-guidance dropout (Section 4.6).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p>
      <w:pPr>
        <w:pStyle w:val="MDPI22heading2"/>
        <w:ind w:left="2608"/>
      </w:pPr>
      <w:r>
        <w:t xml:space="preserve">4.2 Canonicalisation and tokenisation</w:t>
      </w:r>
    </w:p>
    <w:p>
      <w:pPr>
        <w:pStyle w:val="MDPI32textnoindent"/>
        <w:ind w:left="2608"/>
      </w:pPr>
      <w:r>
        <w:t xml:space="preserve">Every SMILES string is canonicalised with RDKit</w:t>
      </w:r>
      <w:r>
        <w:t xml:space="preserve"> </w:t>
      </w:r>
      <w:hyperlink w:anchor="ref-landrum2024rdkit">
        <w:r>
          <w:rPr>
            <w:rStyle w:val="Hyperlink"/>
          </w:rPr>
          <w:t xml:space="preserve">[68]</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Supplementary Section A.2. This step is purely data-side: no learned parameters are fit here; the output is a token-tensor representation of the corpus that the model of Section 4 will consume.</w:t>
      </w:r>
    </w:p>
    <w:p>
      <w:pPr>
        <w:pStyle w:val="MDPI22heading2"/>
        <w:ind w:left="2608"/>
      </w:pPr>
      <w:r>
        <w:t xml:space="preserve">4.3 Training-time high-tail oversampling</w:t>
      </w:r>
    </w:p>
    <w:p>
      <w:pPr>
        <w:pStyle w:val="MDPI32textnoindent"/>
        <w:ind w:left="2608"/>
      </w:pPr>
      <w:r>
        <w:t xml:space="preserve">The labelled detonation-velocity distribution is sharply peaked around 7–8 km s</w:t>
      </w:r>
      <w:r>
        <w:rPr>
          <w:vertAlign w:val="superscript"/>
        </w:rPr>
        <w:t xml:space="preserve">−1</w:t>
      </w:r>
      <w:r>
        <w:t xml:space="preserve">,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 s</w:t>
      </w:r>
      <w:r>
        <w:rPr>
          <w:vertAlign w:val="superscript"/>
        </w:rPr>
        <w:t xml:space="preserve">−1</w:t>
      </w:r>
      <w:r>
        <w:t xml:space="preserve"> </w:t>
      </w:r>
      <w:r>
        <w:t xml:space="preserve">relative to a uniform-sampling control. The oversampling ablation is in Supplementary Section D.4. The two denoiser variants of Section 4.6 differ in which property tail they apply this oversampling to (HOF tail vs ρ/D/P tail).</w:t>
      </w:r>
    </w:p>
    <w:p>
      <w:pPr>
        <w:pStyle w:val="MDPI22heading2"/>
        <w:ind w:left="2608"/>
      </w:pPr>
      <w:r>
        <w:t xml:space="preserve">4.4 Overview and pipeline map</w:t>
      </w:r>
    </w:p>
    <w:p>
      <w:pPr>
        <w:pStyle w:val="MDPI32textnoindent"/>
        <w:ind w:left="2608"/>
      </w:pPr>
      <w:r>
        <w:t xml:space="preserve">DGLD is a four-stage pipeline (Figs 13–22): an encode-once LIMO VAE (Figure 14) feeds a conditional latent DDPM denoiser (Figure 16), whose sampling trajectory (Figure 20) is steered by a multi-task score model trained offline (Figure 18), and whose decoded candidates are filtered by a SMARTS+Pareto rerank funnel (Figure 21). The rest of Section 4 is organised one subsection per diagram panel; small panels are paired (Section 4.9 covers Figure 17 and Section 4.10 covers Figure 18), and the post-decode pipeline is split across three subsections (Section 4.12 Sampling covers Figure 20, Section 4.13 Filtering covers Figure 21, Section 4.14 Pool fusion covers Figure 22). Section 4.15 documents how every numeric constant in Section 4.5–Section 4.14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(Section 4.1, Section 4.6).</w:t>
      </w:r>
    </w:p>
    <w:p xmlns:a="http://schemas.openxmlformats.org/drawingml/2006/main" xmlns:pic="http://schemas.openxmlformats.org/drawingml/2006/picture">
      <w:pPr>
        <w:pStyle w:val="MDPI52figure"/>
        <w:ind w:left="2608"/>
        <w:jc w:val="center"/>
      </w:pPr>
      <w:r>
        <w:drawing>
          <wp:inline>
            <wp:extent cx="4989830" cy="1331018"/>
            <wp:effectExtent b="0" l="0" r="0" t="0"/>
            <wp:docPr descr="DGLD four-stage pipeline overview: encode (LIMO VAE) - generate (conditional latent DDPM) - guide (multi-task score model) - filter (SMARTS, Pareto, xTB, DFT)" title="" id="78" name="Picture"/>
            <a:graphic>
              <a:graphicData uri="http://schemas.openxmlformats.org/drawingml/2006/picture">
                <pic:pic>
                  <pic:nvPicPr>
                    <pic:cNvPr descr="../figs/fig4_1_pipeline_overview.png" id="79" name="Picture"/>
                    <pic:cNvPicPr>
                      <a:picLocks noChangeArrowheads="1" noChangeAspect="1"/>
                    </pic:cNvPicPr>
                  </pic:nvPicPr>
                  <pic:blipFill>
                    <a:blip r:embed="rId30"/>
                    <a:stretch>
                      <a:fillRect/>
                    </a:stretch>
                  </pic:blipFill>
                  <pic:spPr bwMode="auto">
                    <a:xfrm>
                      <a:off x="0" y="0"/>
                      <a:ext cx="4989830" cy="1331018"/>
                    </a:xfrm>
                    <a:prstGeom prst="rect">
                      <a:avLst/>
                    </a:prstGeom>
                    <a:noFill/>
                    <a:ln w="9525">
                      <a:noFill/>
                      <a:headEnd/>
                      <a:tailEnd/>
                    </a:ln>
                  </pic:spPr>
                </pic:pic>
              </a:graphicData>
            </a:graphic>
          </wp:inline>
        </w:drawing>
      </w:r>
    </w:p>
    <w:p>
      <w:pPr>
        <w:pStyle w:val="MDPI51figurecaption"/>
        <w:ind w:left="2608"/>
      </w:pPr>
      <w:r>
        <w:rPr>
          <w:b/>
          <w:bCs/>
        </w:rPr>
        <w:t xml:space="preserve">Figure 13.</w:t>
      </w:r>
      <w:r>
        <w:t xml:space="preserve"> </w:t>
      </w:r>
      <w:r>
        <w:t xml:space="preserve">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p>
      <w:pPr>
        <w:pStyle w:val="MDPI22heading2"/>
        <w:ind w:left="2608"/>
      </w:pPr>
      <w:r>
        <w:t xml:space="preserve">4.5 LIMO fine-tuning and one-time latent caching</w:t>
      </w:r>
    </w:p>
    <w:p>
      <w:pPr>
        <w:pStyle w:val="MDPI32textnoindent"/>
        <w:ind w:left="2608"/>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Section 4.7 denoiser-training stage and is not applied here.</w:t>
      </w:r>
    </w:p>
    <w:p>
      <w:pPr>
        <w:pStyle w:val="MDPI31text"/>
        <w:ind w:left="2608"/>
      </w:pPr>
      <w:r>
        <w:t xml:space="preserve">We start from the pretrained LIMO checkpoint distributed with</w:t>
      </w:r>
      <w:r>
        <w:t xml:space="preserve"> </w:t>
      </w:r>
      <w:hyperlink w:anchor="ref-eckmann2022limo">
        <w:r>
          <w:rPr>
            <w:rStyle w:val="Hyperlink"/>
          </w:rPr>
          <w:t xml:space="preserve">[10]</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S2. We fine-tune all parameters for</w:t>
      </w:r>
      <w:r>
        <w:t xml:space="preserve"> </w:t>
      </w:r>
      <m:oMath>
        <m:r>
          <m:rPr>
            <m:sty m:val="p"/>
          </m:rPr>
          <m:t>∼</m:t>
        </m:r>
      </m:oMath>
      <w:r>
        <w:t xml:space="preserve">8.5k steps on the 326 k energetic-biased SMILES corpus with the standard evidence lower bound (ELBO),</w:t>
      </w:r>
    </w:p>
    <w:p>
      <w:pPr>
        <w:pStyle w:val="MDPI39equation"/>
        <w:ind w:left="2608"/>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MDPI32textnoindent"/>
        <w:ind w:left="2608"/>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p xmlns:a="http://schemas.openxmlformats.org/drawingml/2006/main" xmlns:pic="http://schemas.openxmlformats.org/drawingml/2006/picture">
      <w:pPr>
        <w:pStyle w:val="MDPI52figure"/>
        <w:ind w:left="2608"/>
        <w:jc w:val="center"/>
      </w:pPr>
      <w:r>
        <w:drawing>
          <wp:inline>
            <wp:extent cx="4989830" cy="1001084"/>
            <wp:effectExtent b="0" l="0" r="0" t="0"/>
            <wp:docPr descr="DGLD LIMO VAE fine-tuning loop" title="" id="83" name="Picture"/>
            <a:graphic>
              <a:graphicData uri="http://schemas.openxmlformats.org/drawingml/2006/picture">
                <pic:pic>
                  <pic:nvPicPr>
                    <pic:cNvPr descr="../figs/fig4a_data_prep.png" id="84" name="Picture"/>
                    <pic:cNvPicPr>
                      <a:picLocks noChangeArrowheads="1" noChangeAspect="1"/>
                    </pic:cNvPicPr>
                  </pic:nvPicPr>
                  <pic:blipFill>
                    <a:blip r:embed="rId31"/>
                    <a:stretch>
                      <a:fillRect/>
                    </a:stretch>
                  </pic:blipFill>
                  <pic:spPr bwMode="auto">
                    <a:xfrm>
                      <a:off x="0" y="0"/>
                      <a:ext cx="4989830" cy="1001084"/>
                    </a:xfrm>
                    <a:prstGeom prst="rect">
                      <a:avLst/>
                    </a:prstGeom>
                    <a:noFill/>
                    <a:ln w="9525">
                      <a:noFill/>
                      <a:headEnd/>
                      <a:tailEnd/>
                    </a:ln>
                  </pic:spPr>
                </pic:pic>
              </a:graphicData>
            </a:graphic>
          </wp:inline>
        </w:drawing>
      </w:r>
    </w:p>
    <w:p>
      <w:pPr>
        <w:pStyle w:val="MDPI51figurecaption"/>
        <w:ind w:left="2608"/>
      </w:pPr>
      <w:r>
        <w:rPr>
          <w:b/>
          <w:bCs/>
        </w:rPr>
        <w:t xml:space="preserve">Figure 14.</w:t>
      </w:r>
      <w:r>
        <w:t xml:space="preserve"> </w:t>
      </w:r>
      <w:r>
        <w:t xml:space="preserve">Property-agnostic SELFIES VAE fine-tuned on the 326k energetic corpus (</w:t>
      </w:r>
      <m:oMath>
        <m:r>
          <m:rPr>
            <m:sty m:val="p"/>
          </m:rPr>
          <m:t>∼</m:t>
        </m:r>
      </m:oMath>
      <w:r>
        <w:t xml:space="preserve">8.5k steps, ELBO with</w:t>
      </w:r>
      <w:r>
        <w:t xml:space="preserve"> </w:t>
      </w:r>
      <m:oMath>
        <m:r>
          <m:t>β</m:t>
        </m:r>
        <m:r>
          <m:rPr>
            <m:sty m:val="p"/>
          </m:rPr>
          <m:t>=</m:t>
        </m:r>
        <m:r>
          <m:t>0.01</m:t>
        </m:r>
      </m:oMath>
      <w:r>
        <w:t xml:space="preserve">). The cached latent mean</w:t>
      </w:r>
      <w:r>
        <w:t xml:space="preserve"> </w:t>
      </w:r>
      <m:oMath>
        <m:r>
          <m:t>μ</m:t>
        </m:r>
      </m:oMath>
      <w:r>
        <w:t xml:space="preserve"> </w:t>
      </w:r>
      <w:r>
        <w:t xml:space="preserve">is the</w:t>
      </w:r>
      <w:r>
        <w:t xml:space="preserve"> </w:t>
      </w:r>
      <m:oMath>
        <m:sSub>
          <m:e>
            <m:r>
              <m:t>z</m:t>
            </m:r>
          </m:e>
          <m:sub>
            <m:r>
              <m:t>0</m:t>
            </m:r>
          </m:sub>
        </m:sSub>
      </m:oMath>
      <w:r>
        <w:t xml:space="preserve"> </w:t>
      </w:r>
      <w:r>
        <w:t xml:space="preserve">consumed by Figure 16 (Denoiser training) and Figures 17, 19 (Labeling, Self-distillation). Hyperparameters in Table S2.</w:t>
      </w:r>
    </w:p>
    <w:p>
      <w:pPr>
        <w:pStyle w:val="MDPI31text"/>
        <w:ind w:left="2608"/>
      </w:pPr>
      <w:r>
        <w:t xml:space="preserve">After fine-tuning the encoder is frozen and every row of the data corpus (Section 4)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Section 4.6 and the score model of Section 4.10 read from this cached tensor only.</w:t>
      </w:r>
    </w:p>
    <w:p>
      <w:pPr>
        <w:pStyle w:val="MDPI22heading2"/>
        <w:ind w:left="2608"/>
      </w:pPr>
      <w:r>
        <w:t xml:space="preserve">4.6 Conditioning mask construction</w:t>
      </w:r>
    </w:p>
    <w:p>
      <w:pPr>
        <w:pStyle w:val="MDPI32textnoindent"/>
        <w:ind w:left="2608"/>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MDPI31text"/>
        <w:ind w:left="2608"/>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Section 4.1 (distinct from the CFG scale</w:t>
      </w:r>
      <w:r>
        <w:t xml:space="preserve"> </w:t>
      </w:r>
      <m:oMath>
        <m:r>
          <m:t>w</m:t>
        </m:r>
      </m:oMath>
      <w:r>
        <w:t xml:space="preserve"> </w:t>
      </w:r>
      <w:r>
        <w:t xml:space="preserve">of Section 4.5).</w:t>
      </w:r>
    </w:p>
    <w:p>
      <w:pPr>
        <w:pStyle w:val="MDPI31text"/>
        <w:ind w:left="2608"/>
      </w:pPr>
      <w:r>
        <w:t xml:space="preserve">Figure 15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Section 4.1,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per-step training mask construction: subset-size sampling, weighted pick, tentative mask, property dropout, CFG dropout, output" title="" id="88" name="Picture"/>
            <a:graphic>
              <a:graphicData uri="http://schemas.openxmlformats.org/drawingml/2006/picture">
                <pic:pic>
                  <pic:nvPicPr>
                    <pic:cNvPr descr="../figs/fig4b_mask_construction.png" id="89" name="Picture"/>
                    <pic:cNvPicPr>
                      <a:picLocks noChangeArrowheads="1" noChangeAspect="1"/>
                    </pic:cNvPicPr>
                  </pic:nvPicPr>
                  <pic:blipFill>
                    <a:blip r:embed="rId32"/>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15.</w:t>
      </w:r>
      <w:r>
        <w:t xml:space="preserve"> </w:t>
      </w:r>
      <w:r>
        <w:t xml:space="preserve">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and tier weight</w:t>
      </w:r>
      <w:r>
        <w:t xml:space="preserve"> </w:t>
      </w:r>
      <m:oMath>
        <m:sSub>
          <m:e>
            <m:r>
              <m:t>w</m:t>
            </m:r>
          </m:e>
          <m:sub>
            <m:r>
              <m:rPr>
                <m:nor/>
                <m:sty m:val="p"/>
              </m:rPr>
              <m:t>tier</m:t>
            </m:r>
          </m:sub>
        </m:sSub>
      </m:oMath>
      <w:r>
        <w:t xml:space="preserve">, five stochastic stages produce the per-step mask</w:t>
      </w:r>
      <w:r>
        <w:t xml:space="preserve"> </w:t>
      </w:r>
      <m:oMath>
        <m:r>
          <m:t>m</m:t>
        </m:r>
      </m:oMath>
      <w:r>
        <w:t xml:space="preserve">: subset-size sampling, weighted pick, tentative one-hot, property dropout (0.30), CFG dropout (0.10). Output</w:t>
      </w:r>
      <w:r>
        <w:t xml:space="preserve"> </w:t>
      </w:r>
      <m:oMath>
        <m:r>
          <m:t>m</m:t>
        </m:r>
      </m:oMath>
      <w:r>
        <w:t xml:space="preserve"> </w:t>
      </w:r>
      <w:r>
        <w:t xml:space="preserve">feeds the FiLM input in Figure 16 (Denoiser training); details and probabilities in Section 4.6 and Table S3.</w:t>
      </w:r>
    </w:p>
    <w:p>
      <w:pPr>
        <w:pStyle w:val="MDPI31text"/>
        <w:ind w:left="2608"/>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Section 4.7,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p>
      <w:pPr>
        <w:pStyle w:val="MDPI22heading2"/>
        <w:ind w:left="2608"/>
      </w:pPr>
      <w:r>
        <w:t xml:space="preserve">4.7 Denoiser training</w:t>
      </w:r>
    </w:p>
    <w:p>
      <w:pPr>
        <w:pStyle w:val="MDPI32textnoindent"/>
        <w:ind w:left="2608"/>
      </w:pPr>
      <w:r>
        <w:t xml:space="preserve">The denoiser learns the noise-predicting reverse process of a 1000-step variance-preserving DDPM in latent space, conditioned via FiLM on Section 4.6 mask + property vector. Classifier-free guidance dropout at training time enables the runtime trade-off between unconditional and target-property sampling controlled by the CFG scale w.</w:t>
      </w:r>
    </w:p>
    <w:p>
      <w:pPr>
        <w:pStyle w:val="MDPI31text"/>
        <w:ind w:left="2608"/>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Section 4.6 (full hyperparameters in Table S3).</w:t>
      </w:r>
    </w:p>
    <w:p>
      <w:pPr>
        <w:pStyle w:val="MDPI31text"/>
        <w:ind w:left="2608"/>
      </w:pPr>
      <w:r>
        <w:t xml:space="preserve">Figure 16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[25]</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Section 4.6. Optimiser AdamW, peak LR</w:t>
      </w:r>
      <w:r>
        <w:t xml:space="preserve"> </w:t>
      </w:r>
      <m:oMath>
        <m:sSup>
          <m:e>
            <m:r>
              <m:t>10</m:t>
            </m:r>
          </m:e>
          <m:sup>
            <m:r>
              <m:rPr>
                <m:sty m:val="p"/>
              </m:rPr>
              <m:t>−</m:t>
            </m:r>
            <m:r>
              <m:t>4</m:t>
            </m:r>
          </m:sup>
        </m:sSup>
      </m:oMath>
      <w:r>
        <w:t xml:space="preserve">, cosine decay, batch 128, 20 epochs, exponential-moving-average (EMA) decay 0.999.</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denoiser training: per-step update loop with mask-gated conditioning" title="" id="93" name="Picture"/>
            <a:graphic>
              <a:graphicData uri="http://schemas.openxmlformats.org/drawingml/2006/picture">
                <pic:pic>
                  <pic:nvPicPr>
                    <pic:cNvPr descr="../figs/fig4c_denoiser_train.png" id="94" name="Picture"/>
                    <pic:cNvPicPr>
                      <a:picLocks noChangeArrowheads="1" noChangeAspect="1"/>
                    </pic:cNvPicPr>
                  </pic:nvPicPr>
                  <pic:blipFill>
                    <a:blip r:embed="rId33"/>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16.</w:t>
      </w:r>
      <w:r>
        <w:t xml:space="preserve"> </w:t>
      </w:r>
      <w:r>
        <w:t xml:space="preserve">Sample</w:t>
      </w:r>
      <w:r>
        <w:t xml:space="preserve"> </w:t>
      </w:r>
      <m:oMath>
        <m:r>
          <m:t>t</m:t>
        </m:r>
        <m:r>
          <m:rPr>
            <m:sty m:val="p"/>
          </m:rPr>
          <m:t>,</m:t>
        </m:r>
        <m:r>
          <m:t>ε</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the FiLM-ResNet predicts</w:t>
      </w:r>
      <w:r>
        <w:t xml:space="preserve"> </w:t>
      </w:r>
      <m:oMath>
        <m:acc>
          <m:accPr>
            <m:chr m:val="̂"/>
          </m:accPr>
          <m:e>
            <m:r>
              <m:t>ε</m:t>
            </m:r>
          </m:e>
        </m:acc>
      </m:oMath>
      <w:r>
        <w:t xml:space="preserve"> </w:t>
      </w:r>
      <w:r>
        <w:t xml:space="preserve">from</w:t>
      </w:r>
      <w:r>
        <w:t xml:space="preserve"> </w:t>
      </w:r>
      <m:oMath>
        <m:r>
          <m:rPr>
            <m:sty m:val="p"/>
          </m:rPr>
          <m:t>(</m:t>
        </m:r>
        <m:sSub>
          <m:e>
            <m:r>
              <m:t>z</m:t>
            </m:r>
          </m:e>
          <m:sub>
            <m:r>
              <m:t>t</m:t>
            </m:r>
          </m:sub>
        </m:sSub>
        <m:r>
          <m:rPr>
            <m:sty m:val="p"/>
          </m:rPr>
          <m:t>,</m:t>
        </m:r>
        <m:r>
          <m:t>t</m:t>
        </m:r>
        <m:r>
          <m:rPr>
            <m:sty m:val="p"/>
          </m:rPr>
          <m:t>,</m:t>
        </m:r>
        <m:r>
          <m:t>p</m:t>
        </m:r>
        <m:r>
          <m:rPr>
            <m:sty m:val="p"/>
          </m:rPr>
          <m:t>⊙</m:t>
        </m:r>
        <m:r>
          <m:t>m</m:t>
        </m:r>
        <m:r>
          <m:rPr>
            <m:sty m:val="p"/>
          </m:rPr>
          <m:t>)</m:t>
        </m:r>
      </m:oMath>
      <w:r>
        <w:t xml:space="preserve"> </w:t>
      </w:r>
      <w:r>
        <w:t xml:space="preserve">where</w:t>
      </w:r>
      <w:r>
        <w:t xml:space="preserve"> </w:t>
      </w:r>
      <m:oMath>
        <m:r>
          <m:t>m</m:t>
        </m:r>
      </m:oMath>
      <w:r>
        <w:t xml:space="preserve"> </w:t>
      </w:r>
      <w:r>
        <w:t xml:space="preserve">(from Figure 15) gates the property vector. Loss is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w:t>
      </w:r>
      <w:r>
        <w:t xml:space="preserve"> </w:t>
      </w:r>
      <m:oMath>
        <m:r>
          <m:t>ω</m:t>
        </m:r>
      </m:oMath>
      <w:r>
        <w:t xml:space="preserve">; AdamW + EMA. Hyperparameters in Table S3.</w:t>
      </w:r>
    </w:p>
    <w:p>
      <w:pPr>
        <w:pStyle w:val="MDPI31text"/>
        <w:ind w:left="2608"/>
      </w:pPr>
      <w:r>
        <w:t xml:space="preserve">At sample time we use the standard guided estimate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MDPI32textnoindent"/>
        <w:ind w:left="2608"/>
      </w:pPr>
      <w:r>
        <w:t xml:space="preserve">the production scale</w:t>
      </w:r>
      <w:r>
        <w:t xml:space="preserve"> </w:t>
      </w:r>
      <m:oMath>
        <m:r>
          <m:t>w</m:t>
        </m:r>
        <m:r>
          <m:rPr>
            <m:sty m:val="p"/>
          </m:rPr>
          <m:t>=</m:t>
        </m:r>
        <m:r>
          <m:t>7</m:t>
        </m:r>
      </m:oMath>
      <w:r>
        <w:t xml:space="preserve"> </w:t>
      </w:r>
      <w:r>
        <w:t xml:space="preserve">is selected per Section 4.15 (Figure 23).</w:t>
      </w:r>
    </w:p>
    <w:p>
      <w:pPr>
        <w:pStyle w:val="MDPI22heading2"/>
        <w:ind w:left="2608"/>
      </w:pPr>
      <w:r>
        <w:t xml:space="preserve">4.8 Two complementary denoisers</w:t>
      </w:r>
    </w:p>
    <w:p>
      <w:pPr>
        <w:pStyle w:val="MDPI32textnoindent"/>
        <w:ind w:left="2608"/>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MDPI31text"/>
        <w:ind w:left="2608"/>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Section 4.7 architecture; only the training-data tilt differs. Hyperparameters of both checkpoints are listed in Table S3.</w:t>
      </w:r>
    </w:p>
    <w:p>
      <w:pPr>
        <w:pStyle w:val="MDPI31text"/>
        <w:ind w:left="2608"/>
      </w:pPr>
      <w:r>
        <w:t xml:space="preserve">Empirically DGLD-H supplies high-HOF leads and DGLD-P supplies high-</w:t>
      </w:r>
      <m:oMath>
        <m:r>
          <m:t>ρ</m:t>
        </m:r>
        <m:r>
          <m:rPr>
            <m:sty m:val="p"/>
          </m:rPr>
          <m:t>/</m:t>
        </m:r>
        <m:r>
          <m:t>P</m:t>
        </m:r>
      </m:oMath>
      <w:r>
        <w:t xml:space="preserve"> </w:t>
      </w:r>
      <w:r>
        <w:t xml:space="preserve">leads. Combination happens post-decode in Section 4.14 (Figure 22): we union the lanes' SMILES pools and run them once through the rerank funnel. The combination is a post-decode union of the two lanes' SMILES pools, with no weight interpolation or output averaging.</w:t>
      </w:r>
    </w:p>
    <w:p>
      <w:pPr>
        <w:pStyle w:val="MDPI22heading2"/>
        <w:ind w:left="2608"/>
      </w:pPr>
      <w:r>
        <w:t xml:space="preserve">4.9 Labeling for guidance-head training</w:t>
      </w:r>
    </w:p>
    <w:p>
      <w:pPr>
        <w:pStyle w:val="MDPI32textnoindent"/>
        <w:ind w:left="2608"/>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MDPI31text"/>
        <w:ind w:left="2608"/>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21 reranker uses the Uni-Mol smoke ensemble (Section 4.13) for property scoring, not the latent Performance head.</w:t>
      </w:r>
    </w:p>
    <w:p>
      <w:pPr>
        <w:pStyle w:val="MDPI31text"/>
        <w:ind w:left="2608"/>
      </w:pPr>
      <w:r>
        <w:t xml:space="preserve">Figure 17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[43]</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w:t>
      </w:r>
      <w:r>
        <w:t xml:space="preserve"> </w:t>
      </w:r>
      <w:hyperlink w:anchor="ref-bruns2020watson">
        <w:r>
          <w:rPr>
            <w:rStyle w:val="Hyperlink"/>
          </w:rPr>
          <w:t xml:space="preserve">[69]</w:t>
        </w:r>
      </w:hyperlink>
      <w:r>
        <w:t xml:space="preserve"> </w:t>
      </w:r>
      <w:r>
        <w:t xml:space="preserve">yields</w:t>
      </w:r>
      <w:r>
        <w:t xml:space="preserve"> </w:t>
      </w:r>
      <m:oMath>
        <m:sSub>
          <m:e>
            <m:r>
              <m:t>y</m:t>
            </m:r>
          </m:e>
          <m:sub>
            <m:r>
              <m:rPr>
                <m:nor/>
                <m:sty m:val="p"/>
              </m:rPr>
              <m:t>haz</m:t>
            </m:r>
          </m:sub>
        </m:sSub>
      </m:oMath>
      <w:r>
        <w:t xml:space="preserve">; and a 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Supplementary Section B.1.</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core-model data labeling: SMILES + LIMO latent + four label-source models" title="" id="99" name="Picture"/>
            <a:graphic>
              <a:graphicData uri="http://schemas.openxmlformats.org/drawingml/2006/picture">
                <pic:pic>
                  <pic:nvPicPr>
                    <pic:cNvPr descr="../figs/fig4e1_data_labeling.png" id="100" name="Picture"/>
                    <pic:cNvPicPr>
                      <a:picLocks noChangeArrowheads="1" noChangeAspect="1"/>
                    </pic:cNvPicPr>
                  </pic:nvPicPr>
                  <pic:blipFill>
                    <a:blip r:embed="rId34"/>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17.</w:t>
      </w:r>
      <w:r>
        <w:t xml:space="preserve"> </w:t>
      </w:r>
      <w:r>
        <w:t xml:space="preserve">Four offline pipelines (run once per corpus) generate per-row labels: Random Forest</w:t>
      </w:r>
      <w:r>
        <w:t xml:space="preserve"> </w:t>
      </w:r>
      <m:oMath>
        <m:r>
          <m:rPr>
            <m:sty m:val="p"/>
          </m:rPr>
          <m:t>→</m:t>
        </m:r>
        <m:sSub>
          <m:e>
            <m:r>
              <m:t>y</m:t>
            </m:r>
          </m:e>
          <m:sub>
            <m:r>
              <m:rPr>
                <m:nor/>
                <m:sty m:val="p"/>
              </m:rPr>
              <m:t>viab</m:t>
            </m:r>
          </m:sub>
        </m:sSub>
      </m:oMath>
      <w:r>
        <w:t xml:space="preserve">; Politzer–Murray BDE</w:t>
      </w:r>
      <w:r>
        <w:t xml:space="preserve"> </w:t>
      </w:r>
      <m:oMath>
        <m:r>
          <m:rPr>
            <m:sty m:val="p"/>
          </m:rPr>
          <m:t>→</m:t>
        </m:r>
        <m:sSub>
          <m:e>
            <m:r>
              <m:t>y</m:t>
            </m:r>
          </m:e>
          <m:sub>
            <m:r>
              <m:rPr>
                <m:nor/>
                <m:sty m:val="p"/>
              </m:rPr>
              <m:t>sens</m:t>
            </m:r>
          </m:sub>
        </m:sSub>
      </m:oMath>
      <w:r>
        <w:t xml:space="preserve">; SMARTS + Bruns–Watson</w:t>
      </w:r>
      <w:r>
        <w:t xml:space="preserve"> </w:t>
      </w:r>
      <m:oMath>
        <m:r>
          <m:rPr>
            <m:sty m:val="p"/>
          </m:rPr>
          <m:t>→</m:t>
        </m:r>
        <m:sSub>
          <m:e>
            <m:r>
              <m:t>y</m:t>
            </m:r>
          </m:e>
          <m:sub>
            <m:r>
              <m:rPr>
                <m:nor/>
                <m:sty m:val="p"/>
              </m:rPr>
              <m:t>haz</m:t>
            </m:r>
          </m:sub>
        </m:sSub>
      </m:oMath>
      <w:r>
        <w:t xml:space="preserve">; Uni-Mol smoke ensemble</w:t>
      </w:r>
      <w:r>
        <w:t xml:space="preserve"> </w:t>
      </w:r>
      <m:oMath>
        <m:r>
          <m:rPr>
            <m:sty m:val="p"/>
          </m:rPr>
          <m:t>→</m:t>
        </m:r>
        <m:sSub>
          <m:e>
            <m:r>
              <m:t>y</m:t>
            </m:r>
          </m:e>
          <m:sub>
            <m:r>
              <m:rPr>
                <m:nor/>
                <m:sty m:val="p"/>
              </m:rPr>
              <m:t>perf</m:t>
            </m:r>
          </m:sub>
        </m:sSub>
        <m:r>
          <m:rPr>
            <m:sty m:val="p"/>
          </m:rPr>
          <m:t>∈</m:t>
        </m:r>
        <m:sSup>
          <m:e>
            <m:r>
              <m:rPr>
                <m:scr m:val="double-struck"/>
                <m:sty m:val="p"/>
              </m:rPr>
              <m:t>R</m:t>
            </m:r>
          </m:e>
          <m:sup>
            <m:r>
              <m:t>4</m:t>
            </m:r>
          </m:sup>
        </m:sSup>
      </m:oMath>
      <w:r>
        <w:t xml:space="preserve">. Cached LIMO</w:t>
      </w:r>
      <w:r>
        <w:t xml:space="preserve"> </w:t>
      </w:r>
      <m:oMath>
        <m:r>
          <m:t>z</m:t>
        </m:r>
      </m:oMath>
      <w:r>
        <w:t xml:space="preserve"> </w:t>
      </w:r>
      <w:r>
        <w:t xml:space="preserve">is held for Figure 19 (Self-distillation). Sources in Table S4.</w:t>
      </w:r>
    </w:p>
    <w:p>
      <w:pPr>
        <w:pStyle w:val="MDPI22heading2"/>
        <w:ind w:left="2608"/>
      </w:pPr>
      <w:r>
        <w:t xml:space="preserve">4.10 Score-model training</w:t>
      </w:r>
    </w:p>
    <w:p>
      <w:pPr>
        <w:pStyle w:val="MDPI32textnoindent"/>
        <w:ind w:left="2608"/>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MDPI31text"/>
        <w:ind w:left="2608"/>
      </w:pPr>
      <w:r>
        <w:t xml:space="preserve">The score-model trunk and six heads are trained on noised LIMO latents using the labels of Section 4.9 under multi-task supervision: three of the six (Viability, Sensitivity, Hazard) contribute steering signals at sample time, three (Performance, SA, SC) are auxiliary multi-task signals trained for trunk regularisation only.</w:t>
      </w:r>
    </w:p>
    <w:p>
      <w:pPr>
        <w:pStyle w:val="MDPI31text"/>
        <w:ind w:left="2608"/>
      </w:pPr>
      <w:r>
        <w:t xml:space="preserve">Figure 18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MDPI39equation"/>
        <w:ind w:left="2608"/>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MDPI32textnoindent"/>
        <w:ind w:left="2608"/>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15 and 16)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S3).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guidance training: shared FiLM-MLP trunk + 4 heads + per-head losses" title="" id="104" name="Picture"/>
            <a:graphic>
              <a:graphicData uri="http://schemas.openxmlformats.org/drawingml/2006/picture">
                <pic:pic>
                  <pic:nvPicPr>
                    <pic:cNvPr descr="../figs/fig4e1_guide_train.png" id="105" name="Picture"/>
                    <pic:cNvPicPr>
                      <a:picLocks noChangeArrowheads="1" noChangeAspect="1"/>
                    </pic:cNvPicPr>
                  </pic:nvPicPr>
                  <pic:blipFill>
                    <a:blip r:embed="rId35"/>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18.</w:t>
      </w:r>
      <w:r>
        <w:t xml:space="preserve"> </w:t>
      </w:r>
      <w:r>
        <w:t xml:space="preserve">Forward-diffused latent</w:t>
      </w:r>
      <w:r>
        <w:t xml:space="preserve"> </w:t>
      </w:r>
      <m:oMath>
        <m:sSub>
          <m:e>
            <m:r>
              <m:t>z</m:t>
            </m:r>
          </m:e>
          <m:sub>
            <m:r>
              <m:t>t</m:t>
            </m:r>
          </m:sub>
        </m:sSub>
      </m:oMath>
      <w:r>
        <w:t xml:space="preserve"> </w:t>
      </w:r>
      <w:r>
        <w:t xml:space="preserve">and the</w:t>
      </w:r>
      <w:r>
        <w:t xml:space="preserve"> </w:t>
      </w:r>
      <m:oMath>
        <m:sSub>
          <m:e>
            <m:r>
              <m:t>σ</m:t>
            </m:r>
          </m:e>
          <m:sub>
            <m:r>
              <m:t>t</m:t>
            </m:r>
          </m:sub>
        </m:sSub>
      </m:oMath>
      <w:r>
        <w:t xml:space="preserve"> </w:t>
      </w:r>
      <w:r>
        <w:t xml:space="preserve">sinusoidal embedding feed a shared 4-block FiLM-MLP trunk (1024-d) to six heads: Viability and Hazard (sigmoid/BCE), Sensitivity (SmoothL1), Performance (SmoothL1,</w:t>
      </w:r>
      <w:r>
        <w:t xml:space="preserve"> </w:t>
      </w:r>
      <m:oMath>
        <m:r>
          <m:t>ρ</m:t>
        </m:r>
        <m:r>
          <m:rPr>
            <m:sty m:val="p"/>
          </m:rPr>
          <m:t>/</m:t>
        </m:r>
        <m:r>
          <m:t>D</m:t>
        </m:r>
        <m:r>
          <m:rPr>
            <m:sty m:val="p"/>
          </m:rPr>
          <m:t>/</m:t>
        </m:r>
        <m:r>
          <m:t>P</m:t>
        </m:r>
        <m:r>
          <m:rPr>
            <m:sty m:val="p"/>
          </m:rPr>
          <m:t>/</m:t>
        </m:r>
      </m:oMath>
      <w:r>
        <w:t xml:space="preserve">HOF), SA, SC. Loss is the head-availability-gated sum</w:t>
      </w:r>
      <w:r>
        <w:t xml:space="preserve"> </w:t>
      </w:r>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t xml:space="preserve">; AdamW + EMA. Trains on Figure 17 base labels; the Viability head is then refined via Figure 19 (Self-distillation). At sample time only Viability, Sensitivity, and Hazard contribute steering signals; Performance, SA, and SC are auxiliary multi-task heads (Supplementary Section B.4).</w:t>
      </w:r>
    </w:p>
    <w:p>
      <w:pPr>
        <w:pStyle w:val="MDPI31text"/>
        <w:ind w:left="2608"/>
      </w:pPr>
      <w:r>
        <w:t xml:space="preserve">The auxiliary multi-task heads (Performance, SA, SC) train on the shared trunk for regularisation only, not invoked in the production steering bus (Supplementary Section B.4). Two checkpoint variants (production 6-head hazard-aware and its 5-head predecessor) are released on Zenodo (Supplementary Section D.1).</w:t>
      </w:r>
    </w:p>
    <w:p>
      <w:pPr>
        <w:pStyle w:val="MDPI22heading2"/>
        <w:ind w:left="2608"/>
      </w:pPr>
      <w:r>
        <w:t xml:space="preserve">4.11 Self-distillation refinement of the viability head</w:t>
      </w:r>
    </w:p>
    <w:p>
      <w:pPr>
        <w:pStyle w:val="MDPI32textnoindent"/>
        <w:ind w:left="2608"/>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false-positive cheats and re-feeding them as labelled hard negatives.</w:t>
      </w:r>
    </w:p>
    <w:p>
      <w:pPr>
        <w:pStyle w:val="MDPI31text"/>
        <w:ind w:left="2608"/>
      </w:pPr>
      <w:r>
        <w:t xml:space="preserve">The FROZEN banner of Figure 19 is read literally. Across all rounds the LIMO encoder, LIMO decoder, Section 4.8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MDPI31text"/>
        <w:ind w:left="2608"/>
      </w:pPr>
      <w:r>
        <w:t xml:space="preserve">The five-step protocol (sample → mine → encode → retrain → probe) is detailed in Supplementary Section B.1. The hard-negative ticker on Figure 19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viability-head self-distillation: 3 rounds of mine-then-retrain, with frozen-component banner and hard-negative growth ticker" title="" id="109" name="Picture"/>
            <a:graphic>
              <a:graphicData uri="http://schemas.openxmlformats.org/drawingml/2006/picture">
                <pic:pic>
                  <pic:nvPicPr>
                    <pic:cNvPr descr="../figs/fig4f_self_distillation.png" id="110" name="Picture"/>
                    <pic:cNvPicPr>
                      <a:picLocks noChangeArrowheads="1" noChangeAspect="1"/>
                    </pic:cNvPicPr>
                  </pic:nvPicPr>
                  <pic:blipFill>
                    <a:blip r:embed="rId36"/>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19.</w:t>
      </w:r>
      <w:r>
        <w:t xml:space="preserve"> </w:t>
      </w:r>
      <w:r>
        <w:t xml:space="preserve">Three rounds of mine-then-retrain that refine the</w:t>
      </w:r>
      <w:r>
        <w:t xml:space="preserve"> </w:t>
      </w:r>
      <w:r>
        <w:rPr>
          <w:b/>
          <w:bCs/>
        </w:rPr>
        <w:t xml:space="preserve">Viability head only</w:t>
      </w:r>
      <w:r>
        <w:t xml:space="preserve"> </w:t>
      </w:r>
      <w:r>
        <w:t xml:space="preserve">of the Figure 18 score model; the denoiser (Figure 16) and LIMO VAE (Figure 14) are frozen. Each round samples, gates with Figure 21 (Filtering), encodes false-positives through frozen LIMO as viab</w:t>
      </w:r>
      <m:oMath>
        <m:r>
          <m:rPr>
            <m:sty m:val="p"/>
          </m:rPr>
          <m:t>=</m:t>
        </m:r>
      </m:oMath>
      <w:r>
        <w:t xml:space="preserve">0 hard negatives, and folds them into the next round's training set (137</w:t>
      </w:r>
      <w:r>
        <w:t xml:space="preserve"> </w:t>
      </w:r>
      <m:oMath>
        <m:r>
          <m:rPr>
            <m:sty m:val="p"/>
          </m:rPr>
          <m:t>→</m:t>
        </m:r>
      </m:oMath>
      <w:r>
        <w:t xml:space="preserve"> </w:t>
      </w:r>
      <w:r>
        <w:t xml:space="preserve">918 negatives). Stopping criterion in Supplementary Section B.1.</w:t>
      </w:r>
    </w:p>
    <w:p>
      <w:pPr>
        <w:pStyle w:val="MDPI31text"/>
        <w:ind w:left="2608"/>
      </w:pPr>
      <w:r>
        <w:t xml:space="preserve">The stopping criterion is shown in the right-margin box of Figure 19: a held-out probe (7 anchors {RDX, HMX, TNT, FOX-7, PETN, TATB, NTO} and 5 cheats) must show every anchor at</w:t>
      </w:r>
      <w:r>
        <w:t xml:space="preserve"> </w:t>
      </w:r>
      <m:oMath>
        <m:r>
          <m:rPr>
            <m:sty m:val="p"/>
          </m:rPr>
          <m:t>≥</m:t>
        </m:r>
      </m:oMath>
      <w:r>
        <w:t xml:space="preserve"> 0.86 AND every cheat at</w:t>
      </w:r>
      <w:r>
        <w:t xml:space="preserve"> </w:t>
      </w:r>
      <m:oMath>
        <m:r>
          <m:rPr>
            <m:sty m:val="p"/>
          </m:rPr>
          <m:t>≤</m:t>
        </m:r>
      </m:oMath>
      <w:r>
        <w:t xml:space="preserve"> 0.84. Empirically 3 rounds satisfy this; round 2 (corpus + 918 hard negatives) is the production checkpoint. Pseudocode in Supplementary Section B.1.</w:t>
      </w:r>
    </w:p>
    <w:p>
      <w:pPr>
        <w:pStyle w:val="MDPI22heading2"/>
        <w:ind w:left="2608"/>
      </w:pPr>
      <w:r>
        <w:t xml:space="preserve">4.12 Sampling</w:t>
      </w:r>
    </w:p>
    <w:p>
      <w:pPr>
        <w:pStyle w:val="MDPI32textnoindent"/>
        <w:ind w:left="2608"/>
      </w:pPr>
      <w:r>
        <w:t xml:space="preserve">At sample time, three of the six trained heads (Viability, Sensitivity, Hazard) supply gradient steering signals at every DDIM (denoising diffusion implicit model) step on top of classifier-free guidance. The denoiser remains the same checkpoint as Section 4.7; only the sampler changes.</w:t>
      </w:r>
    </w:p>
    <w:p>
      <w:pPr>
        <w:pStyle w:val="MDPI31text"/>
        <w:ind w:left="2608"/>
      </w:pPr>
      <w:r>
        <w:t xml:space="preserve">Figure 20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MDPI39equation"/>
        <w:ind w:left="2608"/>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MDPI32textnoindent"/>
        <w:ind w:left="2608"/>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Section 4.8 (Figure 16).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Section 4.15). The final</w:t>
      </w:r>
      <w:r>
        <w:t xml:space="preserve"> </w:t>
      </w:r>
      <m:oMath>
        <m:sSub>
          <m:e>
            <m:r>
              <m:t>z</m:t>
            </m:r>
          </m:e>
          <m:sub>
            <m:r>
              <m:t>0</m:t>
            </m:r>
          </m:sub>
        </m:sSub>
      </m:oMath>
      <w:r>
        <w:t xml:space="preserve"> </w:t>
      </w:r>
      <w:r>
        <w:t xml:space="preserve">decodes through the frozen LIMO decoder to a SMILES pool consumed by Figure 22.</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ampling: DDIM denoise with multi-task steering signals" title="" id="114" name="Picture"/>
            <a:graphic>
              <a:graphicData uri="http://schemas.openxmlformats.org/drawingml/2006/picture">
                <pic:pic>
                  <pic:nvPicPr>
                    <pic:cNvPr descr="../figs/fig4c_sampling_guidance.png" id="115" name="Picture"/>
                    <pic:cNvPicPr>
                      <a:picLocks noChangeArrowheads="1" noChangeAspect="1"/>
                    </pic:cNvPicPr>
                  </pic:nvPicPr>
                  <pic:blipFill>
                    <a:blip r:embed="rId37"/>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20.</w:t>
      </w:r>
      <w:r>
        <w:t xml:space="preserve"> </w:t>
      </w:r>
      <w:r>
        <w:t xml:space="preserve">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 40 DDIM steps with a steering bus</w:t>
      </w:r>
      <w:r>
        <w:t xml:space="preserve"> </w:t>
      </w:r>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w:r>
        <w:t xml:space="preserve"> </w:t>
      </w:r>
      <w:r>
        <w:t xml:space="preserve">over the three active steering signals of Figure 18 perturbing</w:t>
      </w:r>
      <w:r>
        <w:t xml:space="preserve"> </w:t>
      </w:r>
      <m:oMath>
        <m:sSub>
          <m:e>
            <m:r>
              <m:t>ε</m:t>
            </m:r>
          </m:e>
          <m:sub>
            <m:r>
              <m:t>θ</m:t>
            </m:r>
          </m:sub>
        </m:sSub>
      </m:oMath>
      <w:r>
        <w:t xml:space="preserve"> </w:t>
      </w:r>
      <w:r>
        <w:t xml:space="preserve">at every step. The final</w:t>
      </w:r>
      <w:r>
        <w:t xml:space="preserve"> </w:t>
      </w:r>
      <m:oMath>
        <m:sSub>
          <m:e>
            <m:r>
              <m:t>z</m:t>
            </m:r>
          </m:e>
          <m:sub>
            <m:r>
              <m:t>0</m:t>
            </m:r>
          </m:sub>
        </m:sSub>
      </m:oMath>
      <w:r>
        <w:t xml:space="preserve"> </w:t>
      </w:r>
      <w:r>
        <w:t xml:space="preserve">decodes through frozen LIMO to a SMILES pool consumed by Figure 22 (Pool fusion). Per-head scales</w:t>
      </w:r>
      <w:r>
        <w:t xml:space="preserve"> </w:t>
      </w:r>
      <m:oMath>
        <m:sSub>
          <m:e>
            <m:r>
              <m:t>s</m:t>
            </m:r>
          </m:e>
          <m:sub>
            <m:r>
              <m:t>h</m:t>
            </m:r>
          </m:sub>
        </m:sSub>
      </m:oMath>
      <w:r>
        <w:t xml:space="preserve"> </w:t>
      </w:r>
      <w:r>
        <w:t xml:space="preserve">in Supplementary Section B.</w:t>
      </w:r>
    </w:p>
    <w:p>
      <w:pPr>
        <w:pStyle w:val="MDPI31text"/>
        <w:ind w:left="2608"/>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[25]</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Supplementary Section D.5. The CFG scale</w:t>
      </w:r>
      <w:r>
        <w:t xml:space="preserve"> </w:t>
      </w:r>
      <m:oMath>
        <m:r>
          <m:t>w</m:t>
        </m:r>
      </m:oMath>
      <w:r>
        <w:t xml:space="preserve"> </w:t>
      </w:r>
      <w:r>
        <w:t xml:space="preserve">is selected from Section 4.15 sweep (Figure 23,</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Supplementary Section D.8.</w:t>
      </w:r>
    </w:p>
    <w:p>
      <w:pPr>
        <w:pStyle w:val="MDPI22heading2"/>
        <w:ind w:left="2608"/>
      </w:pPr>
      <w:r>
        <w:t xml:space="preserve">4.13 Filtering</w:t>
      </w:r>
    </w:p>
    <w:p>
      <w:pPr>
        <w:pStyle w:val="MDPI32textnoindent"/>
        <w:ind w:left="2608"/>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MDPI31text"/>
        <w:ind w:left="2608"/>
      </w:pPr>
      <w:r>
        <w:t xml:space="preserve">Figure 21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[70]</w:t>
        </w:r>
      </w:hyperlink>
      <w:r>
        <w:t xml:space="preserve"> </w:t>
      </w:r>
      <w:r>
        <w:t xml:space="preserve">catalog removes radicals, sulphur, halogens, mixed valence states, and other red flags; survivors are scored by the Uni-Mol smoke ensemble. SA</w:t>
      </w:r>
      <w:r>
        <w:t xml:space="preserve"> </w:t>
      </w:r>
      <w:hyperlink w:anchor="ref-ertl2009sa">
        <w:r>
          <w:rPr>
            <w:rStyle w:val="Hyperlink"/>
          </w:rPr>
          <w:t xml:space="preserve">[55]</w:t>
        </w:r>
      </w:hyperlink>
      <w:r>
        <w:t xml:space="preserve"> </w:t>
      </w:r>
      <m:oMath>
        <m:r>
          <m:rPr>
            <m:sty m:val="p"/>
          </m:rPr>
          <m:t>≤</m:t>
        </m:r>
      </m:oMath>
      <w:r>
        <w:t xml:space="preserve"> 5.0 and SCScore</w:t>
      </w:r>
      <w:r>
        <w:t xml:space="preserve"> </w:t>
      </w:r>
      <w:hyperlink w:anchor="ref-coley2018scscore">
        <w:r>
          <w:rPr>
            <w:rStyle w:val="Hyperlink"/>
          </w:rPr>
          <w:t xml:space="preserve">[56]</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MDPI39equation"/>
        <w:ind w:left="2608"/>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MDPI32textnoindent"/>
        <w:ind w:left="2608"/>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Uni-Mol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(Section 2.3).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(Section 2.3). Illustrative survivors at the Section 2 production setting: pool=40k</w:t>
      </w:r>
      <w:r>
        <w:t xml:space="preserve"> </w:t>
      </w:r>
      <m:oMath>
        <m:r>
          <m:rPr>
            <m:sty m:val="p"/>
          </m:rPr>
          <m:t>→</m:t>
        </m:r>
      </m:oMath>
      <w:r>
        <w:t xml:space="preserve"> </w:t>
      </w:r>
      <m:oMath>
        <m:r>
          <m:rPr>
            <m:sty m:val="p"/>
          </m:rPr>
          <m:t>∼</m:t>
        </m:r>
      </m:oMath>
      <w:r>
        <w:t xml:space="preserve">1 800 chem-pass after Stage 1+2 (4.6 % Stage-1+2 pass rate; 966 survive the full Uni-Mol + composite filter, Supplementary Section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12 DFT-validated lead cards.</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post-sampling: decode, filter, rerank" title="" id="119" name="Picture"/>
            <a:graphic>
              <a:graphicData uri="http://schemas.openxmlformats.org/drawingml/2006/picture">
                <pic:pic>
                  <pic:nvPicPr>
                    <pic:cNvPr descr="../figs/fig4d_decode_rerank.png" id="120" name="Picture"/>
                    <pic:cNvPicPr>
                      <a:picLocks noChangeArrowheads="1" noChangeAspect="1"/>
                    </pic:cNvPicPr>
                  </pic:nvPicPr>
                  <pic:blipFill>
                    <a:blip r:embed="rId38"/>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21.</w:t>
      </w:r>
      <w:r>
        <w:t xml:space="preserve"> </w:t>
      </w:r>
      <w:r>
        <w:t xml:space="preserve">Four-stage funnel on the Figure 22 Pool fusion output: Stage 1 SMARTS gate, Stage 2 Pareto reranker (this section), Stage 3 xTB triage (Section 2.3), Stage 4 DFT audit (Section 2.3). Illustrative survivors: 40k</w:t>
      </w:r>
      <w:r>
        <w:t xml:space="preserve"> </w:t>
      </w:r>
      <m:oMath>
        <m:r>
          <m:rPr>
            <m:sty m:val="p"/>
          </m:rPr>
          <m:t>→</m:t>
        </m:r>
      </m:oMath>
      <w:r>
        <w:t xml:space="preserve"> </w:t>
      </w:r>
      <m:oMath>
        <m:r>
          <m:rPr>
            <m:sty m:val="p"/>
          </m:rPr>
          <m:t>∼</m:t>
        </m:r>
      </m:oMath>
      <w:r>
        <w:t xml:space="preserve">1 800 chem-pass after Stage 1+2 (966 full-filter survivors, Supplementary Section F.2)</w:t>
      </w:r>
      <w:r>
        <w:t xml:space="preserve"> </w:t>
      </w:r>
      <m:oMath>
        <m:r>
          <m:rPr>
            <m:sty m:val="p"/>
          </m:rPr>
          <m:t>→</m:t>
        </m:r>
      </m:oMath>
      <w:r>
        <w:t xml:space="preserve"> </w:t>
      </w:r>
      <w:r>
        <w:t xml:space="preserve">top-100</w:t>
      </w:r>
      <w:r>
        <w:t xml:space="preserve"> </w:t>
      </w:r>
      <m:oMath>
        <m:r>
          <m:rPr>
            <m:sty m:val="p"/>
          </m:rPr>
          <m:t>→</m:t>
        </m:r>
      </m:oMath>
      <w:r>
        <w:t xml:space="preserve"> </w:t>
      </w:r>
      <w:r>
        <w:t xml:space="preserve">12 DFT-validated.</w:t>
      </w:r>
    </w:p>
    <w:p>
      <w:pPr>
        <w:pStyle w:val="MDPI31text"/>
        <w:ind w:left="2608"/>
      </w:pPr>
      <w:r>
        <w:t xml:space="preserve">The Pareto-front procedure in Stage 2 is the four-step sweep:</w:t>
      </w:r>
    </w:p>
    <w:p>
      <w:pPr>
        <w:pStyle w:val="Compact"/>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pPr>
      <w:r>
        <w:rPr>
          <w:b/>
          <w:bCs/>
        </w:rPr>
        <w:t xml:space="preserve">Sort</w:t>
      </w:r>
      <w:r>
        <w:t xml:space="preserve"> </w:t>
      </w:r>
      <w:r>
        <w:t xml:space="preserve">with a two-key order: Pareto-front candidates first, then non-front; within each stratum by composite descending.</w:t>
      </w:r>
    </w:p>
    <w:p>
      <w:pPr>
        <w:pStyle w:val="Compact"/>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p>
      <w:pPr>
        <w:pStyle w:val="MDPI22heading2"/>
        <w:ind w:left="2608"/>
      </w:pPr>
      <w:r>
        <w:t xml:space="preserve">4.14 Pool fusion across sampling runs</w:t>
      </w:r>
    </w:p>
    <w:p>
      <w:pPr>
        <w:pStyle w:val="MDPI32textnoindent"/>
        <w:ind w:left="2608"/>
      </w:pPr>
      <w:r>
        <w:t xml:space="preserve">A single sampling lane fixes one (denoiser, conditions, guidance) tuple. Pool fusion runs multiple lanes in parallel and unions their decoded SMILES outputs, exploiting the lanes' independent failure modes for diversity. The Section 4.13 reranker is what tie-breaks across the fused pool.</w:t>
      </w:r>
    </w:p>
    <w:p>
      <w:pPr>
        <w:pStyle w:val="MDPI31text"/>
        <w:ind w:left="2608"/>
      </w:pPr>
      <w:r>
        <w:t xml:space="preserve">Figure 22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Supplementary Section F.4 four-pool merge (which adds two unguided ablation lanes) is a presentation choice for the merged top-100 result, not the production methodology recipe.</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pool fusion across sampling runs: 4 lanes (2 guided production, 2 unguided baseline) varying denoiser and guidance, fanned into Union + canonical-SMILES dedupe" title="" id="124" name="Picture"/>
            <a:graphic>
              <a:graphicData uri="http://schemas.openxmlformats.org/drawingml/2006/picture">
                <pic:pic>
                  <pic:nvPicPr>
                    <pic:cNvPr descr="../figs/fig4g_pool_fusion.png" id="125" name="Picture"/>
                    <pic:cNvPicPr>
                      <a:picLocks noChangeArrowheads="1" noChangeAspect="1"/>
                    </pic:cNvPicPr>
                  </pic:nvPicPr>
                  <pic:blipFill>
                    <a:blip r:embed="rId39"/>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22.</w:t>
      </w:r>
      <w:r>
        <w:t xml:space="preserve"> </w:t>
      </w:r>
      <w:r>
        <w:t xml:space="preserve">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w:t>
      </w:r>
      <m:oMath>
        <m:sSub>
          <m:e>
            <m:r>
              <m:t>z</m:t>
            </m:r>
          </m:e>
          <m:sub>
            <m:r>
              <m:t>T</m:t>
            </m:r>
          </m:sub>
        </m:sSub>
      </m:oMath>
      <w:r>
        <w:t xml:space="preserve"> </w:t>
      </w:r>
      <w:r>
        <w:t xml:space="preserve">draw → 40 DDIM → LIMO decode); the four pools converge to a single Union + canonical-SMILES dedupe step that feeds Section 4.13 reranker (Figure 21).</w:t>
      </w:r>
    </w:p>
    <w:p>
      <w:pPr>
        <w:pStyle w:val="MDPI22heading2"/>
        <w:ind w:left="2608"/>
      </w:pPr>
      <w:r>
        <w:t xml:space="preserve">4.15 Training and hyperparameter selection</w:t>
      </w:r>
    </w:p>
    <w:p>
      <w:pPr>
        <w:pStyle w:val="MDPI32textnoindent"/>
        <w:ind w:left="2608"/>
      </w:pPr>
      <w:r>
        <w:t xml:space="preserve">Every numeric constant in Section 4.5-Section 4.14 is selected by one of four mechanisms: empirically swept, stop-criterion-driven, inherited from prior work, or chemist-set. This section walks each bucket and flags what was empirically verified versus what was a defensible default.</w:t>
      </w:r>
    </w:p>
    <w:p>
      <w:pPr>
        <w:pStyle w:val="MDPI31text"/>
        <w:ind w:left="2608"/>
      </w:pPr>
      <w:r>
        <w:t xml:space="preserve">Every numeric constant introduced in Section 4.5–Section 4.14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MDPI31text"/>
        <w:ind w:left="2608"/>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23) and the candidate pool size (Figure 24).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Supplementary Section F.4 multi-axis matrix (full grid in Supplementary Section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Supplementary Section B.3).</w:t>
      </w:r>
    </w:p>
    <w:p xmlns:a="http://schemas.openxmlformats.org/drawingml/2006/main" xmlns:pic="http://schemas.openxmlformats.org/drawingml/2006/picture">
      <w:pPr>
        <w:pStyle w:val="MDPI52figure"/>
        <w:ind w:left="2608"/>
        <w:jc w:val="center"/>
      </w:pPr>
      <w:r>
        <w:drawing>
          <wp:inline>
            <wp:extent cx="4989830" cy="2952209"/>
            <wp:effectExtent b="0" l="0" r="0" t="0"/>
            <wp:docPr descr="CFG sweep" title="" id="129" name="Picture"/>
            <a:graphic>
              <a:graphicData uri="http://schemas.openxmlformats.org/drawingml/2006/picture">
                <pic:pic>
                  <pic:nvPicPr>
                    <pic:cNvPr descr="../figs/fig2_cfg_sweep.png" id="130" name="Picture"/>
                    <pic:cNvPicPr>
                      <a:picLocks noChangeArrowheads="1" noChangeAspect="1"/>
                    </pic:cNvPicPr>
                  </pic:nvPicPr>
                  <pic:blipFill>
                    <a:blip r:embed="rId40"/>
                    <a:stretch>
                      <a:fillRect/>
                    </a:stretch>
                  </pic:blipFill>
                  <pic:spPr bwMode="auto">
                    <a:xfrm>
                      <a:off x="0" y="0"/>
                      <a:ext cx="4989830" cy="2952209"/>
                    </a:xfrm>
                    <a:prstGeom prst="rect">
                      <a:avLst/>
                    </a:prstGeom>
                    <a:noFill/>
                    <a:ln w="9525">
                      <a:noFill/>
                      <a:headEnd/>
                      <a:tailEnd/>
                    </a:ln>
                  </pic:spPr>
                </pic:pic>
              </a:graphicData>
            </a:graphic>
          </wp:inline>
        </w:drawing>
      </w:r>
    </w:p>
    <w:p>
      <w:pPr>
        <w:pStyle w:val="MDPI51figurecaption"/>
        <w:ind w:left="2608"/>
      </w:pPr>
      <w:r>
        <w:rPr>
          <w:b/>
          <w:bCs/>
        </w:rPr>
        <w:t xml:space="preserve">Figure 23.</w:t>
      </w:r>
      <w:r>
        <w:t xml:space="preserve"> </w:t>
      </w:r>
      <w:r>
        <w:t xml:space="preserve">Classifier-free guidance scale</w:t>
      </w:r>
      <w:r>
        <w:t xml:space="preserve"> </w:t>
      </w:r>
      <m:oMath>
        <m:r>
          <m:t>w</m:t>
        </m:r>
      </m:oMath>
      <w:r>
        <w:t xml:space="preserve"> </w:t>
      </w:r>
      <w:r>
        <w:t xml:space="preserve">sweep at pool=8 000 per setting, ranked by the two-denoiser pool.</w:t>
      </w:r>
      <w:r>
        <w:t xml:space="preserve"> </w:t>
      </w:r>
      <m:oMath>
        <m:r>
          <m:t>w</m:t>
        </m:r>
        <m:r>
          <m:rPr>
            <m:sty m:val="p"/>
          </m:rPr>
          <m:t>=</m:t>
        </m:r>
        <m:r>
          <m:t>7</m:t>
        </m:r>
      </m:oMath>
      <w:r>
        <w:t xml:space="preserve"> </w:t>
      </w:r>
      <w:r>
        <w:t xml:space="preserve">is the empirical sweet spot.</w:t>
      </w:r>
    </w:p>
    <w:p xmlns:a="http://schemas.openxmlformats.org/drawingml/2006/main" xmlns:pic="http://schemas.openxmlformats.org/drawingml/2006/picture">
      <w:pPr>
        <w:pStyle w:val="MDPI52figure"/>
        <w:ind w:left="2608"/>
        <w:jc w:val="center"/>
      </w:pPr>
      <w:r>
        <w:drawing>
          <wp:inline>
            <wp:extent cx="4989830" cy="2811325"/>
            <wp:effectExtent b="0" l="0" r="0" t="0"/>
            <wp:docPr descr="Pool size scaling" title="" id="132" name="Picture"/>
            <a:graphic>
              <a:graphicData uri="http://schemas.openxmlformats.org/drawingml/2006/picture">
                <pic:pic>
                  <pic:nvPicPr>
                    <pic:cNvPr descr="../figs/fig1_pool_scaling.png" id="133" name="Picture"/>
                    <pic:cNvPicPr>
                      <a:picLocks noChangeArrowheads="1" noChangeAspect="1"/>
                    </pic:cNvPicPr>
                  </pic:nvPicPr>
                  <pic:blipFill>
                    <a:blip r:embed="rId41"/>
                    <a:stretch>
                      <a:fillRect/>
                    </a:stretch>
                  </pic:blipFill>
                  <pic:spPr bwMode="auto">
                    <a:xfrm>
                      <a:off x="0" y="0"/>
                      <a:ext cx="4989830" cy="2811325"/>
                    </a:xfrm>
                    <a:prstGeom prst="rect">
                      <a:avLst/>
                    </a:prstGeom>
                    <a:noFill/>
                    <a:ln w="9525">
                      <a:noFill/>
                      <a:headEnd/>
                      <a:tailEnd/>
                    </a:ln>
                  </pic:spPr>
                </pic:pic>
              </a:graphicData>
            </a:graphic>
          </wp:inline>
        </w:drawing>
      </w:r>
    </w:p>
    <w:p>
      <w:pPr>
        <w:pStyle w:val="MDPI51figurecaption"/>
        <w:ind w:left="2608"/>
      </w:pPr>
      <w:r>
        <w:rPr>
          <w:b/>
          <w:bCs/>
        </w:rPr>
        <w:t xml:space="preserve">Figure 24.</w:t>
      </w:r>
      <w:r>
        <w:t xml:space="preserve"> </w:t>
      </w:r>
      <w:r>
        <w:t xml:space="preserve">Pool size vs. (i) best composite score over top-1 candidate, (ii) number of candidates passing every filter. Both curves are still moving at pool=40k; the M7 five-lane 100k run (Supplementary Section F.5) confirms the trend: 4 639 passing candidates (4.8× the 40k baseline) with scaffold count expanding from 7 to 24.</w:t>
      </w:r>
    </w:p>
    <w:p>
      <w:pPr>
        <w:pStyle w:val="MDPI31text"/>
        <w:ind w:left="2608"/>
      </w:pPr>
      <w:r>
        <w:t xml:space="preserve">The second bucket is stop-criterion-driven. The self-distillation round count was set by the held-out probe described in Section 4.11, which requires every anchor at</w:t>
      </w:r>
      <w:r>
        <w:t xml:space="preserve"> </w:t>
      </w:r>
      <m:oMath>
        <m:r>
          <m:rPr>
            <m:sty m:val="p"/>
          </m:rPr>
          <m:t>≥</m:t>
        </m:r>
      </m:oMath>
      <w:r>
        <w:t xml:space="preserve"> 0.86 and every cheat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configuration that demotes the worst model-cheat (gem-tetranitro) furthest, to viability 0.74. The hard-negative count (918) is the cumulative round-2 mining yield, not a tuned target.</w:t>
      </w:r>
    </w:p>
    <w:p>
      <w:pPr>
        <w:pStyle w:val="MDPI31text"/>
        <w:ind w:left="2608"/>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[21]</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MDPI31text"/>
        <w:ind w:left="2608"/>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MDPI31text"/>
        <w:ind w:left="2608"/>
      </w:pPr>
      <w:r>
        <w:t xml:space="preserve">The selection procedure uses 1D ablations throughout: each hyperparameter is fixed by a per-axis sweep, a stop-criterion count, a prior-art default, or a chemist-set threshold, with the full grids in Section 2 and Supplementary Section D. A joint optimisation over (</w:t>
      </w:r>
      <m:oMath>
        <m:r>
          <m:t>w</m:t>
        </m:r>
      </m:oMath>
      <w:r>
        <w:t xml:space="preserve">,</w:t>
      </w:r>
      <w:r>
        <w:t xml:space="preserve"> </w:t>
      </w:r>
      <m:oMath>
        <m:sSub>
          <m:e>
            <m:r>
              <m:t>s</m:t>
            </m:r>
          </m:e>
          <m:sub>
            <m:r>
              <m:t>h</m:t>
            </m:r>
          </m:sub>
        </m:sSub>
      </m:oMath>
      <w:r>
        <w:t xml:space="preserve">, pool size) and per-target retuning are scoped as future work. Section 2.6 hosts only the</w:t>
      </w:r>
      <w:r>
        <w:t xml:space="preserve"> </w:t>
      </w:r>
      <w:r>
        <w:rPr>
          <w:i/>
          <w:iCs/>
        </w:rPr>
        <w:t xml:space="preserve">use</w:t>
      </w:r>
      <w:r>
        <w:t xml:space="preserve"> </w:t>
      </w:r>
      <w:r>
        <w:t xml:space="preserve">of these settings (baseline comparisons, top-1 metrics) and Supplementary Section D gives the full per-axis grids; the selection process lives here. The full compute footprint is summarised in Supplementary Section D.2.</w:t>
      </w:r>
    </w:p>
    <w:p>
      <w:pPr>
        <w:pStyle w:val="MDPI22heading2"/>
        <w:ind w:left="2608"/>
      </w:pPr>
      <w:r>
        <w:t xml:space="preserve">4.16 Baseline generators</w:t>
      </w:r>
    </w:p>
    <w:p>
      <w:pPr>
        <w:pStyle w:val="MDPI32textnoindent"/>
        <w:ind w:left="2608"/>
      </w:pPr>
      <w:r>
        <w:t xml:space="preserve">Four no-diffusion baselines are run through the identical downstream validation pipeline (canonicalisation, chemistry filters, Uni-Mol surrogate scoring, novelty window) on the same training corpus, so that any difference reflects the generator rather than the evaluation.</w:t>
      </w:r>
    </w:p>
    <w:p>
      <w:pPr>
        <w:pStyle w:val="MDPI31text"/>
        <w:ind w:left="2608"/>
      </w:pPr>
      <w:r>
        <w:rPr>
          <w:b/>
          <w:bCs/>
        </w:rPr>
        <w:t xml:space="preserve">SMILES-LSTM.</w:t>
      </w:r>
      <w:r>
        <w:t xml:space="preserve"> </w:t>
      </w:r>
      <w:r>
        <w:t xml:space="preserve">A character-level LSTM (embedding</w:t>
      </w:r>
      <w:r>
        <w:t xml:space="preserve"> </w:t>
      </w:r>
      <m:oMath>
        <m:r>
          <m:rPr>
            <m:sty m:val="p"/>
          </m:rPr>
          <m:t>→</m:t>
        </m:r>
      </m:oMath>
      <w:r>
        <w:t xml:space="preserve"> </w:t>
      </w:r>
      <w:r>
        <w:t xml:space="preserve">2-layer LSTM, 512 hidden units,</w:t>
      </w:r>
      <w:r>
        <w:t xml:space="preserve"> </w:t>
      </w:r>
      <m:oMath>
        <m:r>
          <m:rPr>
            <m:sty m:val="p"/>
          </m:rPr>
          <m:t>∼</m:t>
        </m:r>
      </m:oMath>
      <w:r>
        <w:t xml:space="preserve">6 M parameters) trained from scratch on the 326 k-molecule energetic SMILES corpus (AdamW, learning rate</w:t>
      </w:r>
      <w:r>
        <w:t xml:space="preserve"> </w:t>
      </w:r>
      <m:oMath>
        <m:sSup>
          <m:e>
            <m:r>
              <m:t>10</m:t>
            </m:r>
          </m:e>
          <m:sup>
            <m:r>
              <m:rPr>
                <m:sty m:val="p"/>
              </m:rPr>
              <m:t>−</m:t>
            </m:r>
            <m:r>
              <m:t>3</m:t>
            </m:r>
          </m:sup>
        </m:sSup>
      </m:oMath>
      <w:r>
        <w:t xml:space="preserve">, weight decay</w:t>
      </w:r>
      <w:r>
        <w:t xml:space="preserve"> </w:t>
      </w:r>
      <m:oMath>
        <m:sSup>
          <m:e>
            <m:r>
              <m:t>10</m:t>
            </m:r>
          </m:e>
          <m:sup>
            <m:r>
              <m:rPr>
                <m:sty m:val="p"/>
              </m:rPr>
              <m:t>−</m:t>
            </m:r>
            <m:r>
              <m:t>4</m:t>
            </m:r>
          </m:sup>
        </m:sSup>
      </m:oMath>
      <w:r>
        <w:t xml:space="preserve">, batch 128, gradient clip 1.0, 5 epochs, sequence length</w:t>
      </w:r>
      <w:r>
        <w:t xml:space="preserve"> </w:t>
      </w:r>
      <m:oMath>
        <m:r>
          <m:rPr>
            <m:sty m:val="p"/>
          </m:rPr>
          <m:t>≤</m:t>
        </m:r>
      </m:oMath>
      <w:r>
        <w:t xml:space="preserve"> 120). Ten thousand SMILES are sampled autoregressively at temperature 1.0 for each of three seeds. This baseline matches DGLD's corpus and parameter budget but omits diffusion and score-model guidance.</w:t>
      </w:r>
    </w:p>
    <w:p>
      <w:pPr>
        <w:pStyle w:val="MDPI31text"/>
        <w:ind w:left="2608"/>
      </w:pPr>
      <w:r>
        <w:rPr>
          <w:b/>
          <w:bCs/>
        </w:rPr>
        <w:t xml:space="preserve">SELFIES-GA.</w:t>
      </w:r>
      <w:r>
        <w:t xml:space="preserve"> </w:t>
      </w:r>
      <w:r>
        <w:t xml:space="preserve">A genetic algorithm over SELFIES (</w:t>
      </w:r>
      <w:r>
        <w:rPr>
          <w:rStyle w:val="VerbatimChar"/>
        </w:rPr>
        <w:t xml:space="preserve">selfies</w:t>
      </w:r>
      <w:r>
        <w:t xml:space="preserve"> 2.1.1: token substitution/insertion/deletion up to three mutations, single-point crossover), initialised from the same corpus and optimising the DGLD Pareto composite (viability, sensitivity, novelty, performance) each generation. The primary run evolves a population of 2 000 over 30 generations (elite fraction 0.50, new fraction 0.20, crossover fraction 0.15, seed 42); a compute-matched variant evolves 40 000 over 15 generations. Every candidate is scored each generation by the same Uni-Mol surrogate; the 40 000-pool best-novel candidate is carried through the full B3LYP/6-31G(d)</w:t>
      </w:r>
      <w:r>
        <w:t xml:space="preserve"> </w:t>
      </w:r>
      <m:oMath>
        <m:r>
          <m:rPr>
            <m:sty m:val="p"/>
          </m:rPr>
          <m:t>→</m:t>
        </m:r>
      </m:oMath>
      <w:r>
        <w:t xml:space="preserve"> </w:t>
      </w:r>
      <m:oMath>
        <m:r>
          <m:t>ω</m:t>
        </m:r>
      </m:oMath>
      <w:r>
        <w:t xml:space="preserve">B97X-D3BJ/def2-TZVP</w:t>
      </w:r>
      <w:r>
        <w:t xml:space="preserve"> </w:t>
      </w:r>
      <m:oMath>
        <m:r>
          <m:rPr>
            <m:sty m:val="p"/>
          </m:rPr>
          <m:t>→</m:t>
        </m:r>
      </m:oMath>
      <w:r>
        <w:t xml:space="preserve"> </w:t>
      </w:r>
      <w:r>
        <w:t xml:space="preserve">Kamlet–Jacobs DFT audit.</w:t>
      </w:r>
    </w:p>
    <w:p>
      <w:pPr>
        <w:pStyle w:val="MDPI31text"/>
        <w:ind w:left="2608"/>
      </w:pPr>
      <w:r>
        <w:rPr>
          <w:b/>
          <w:bCs/>
        </w:rPr>
        <w:t xml:space="preserve">MolMIM 70 M.</w:t>
      </w:r>
      <w:r>
        <w:t xml:space="preserve"> </w:t>
      </w:r>
      <w:r>
        <w:t xml:space="preserve">NVIDIA MolMIM (</w:t>
      </w:r>
      <m:oMath>
        <m:r>
          <m:rPr>
            <m:sty m:val="p"/>
          </m:rPr>
          <m:t>∼</m:t>
        </m:r>
      </m:oMath>
      <w:r>
        <w:t xml:space="preserve">70 M parameters,</w:t>
      </w:r>
      <w:r>
        <w:t xml:space="preserve"> </w:t>
      </w:r>
      <w:r>
        <w:rPr>
          <w:rStyle w:val="VerbatimChar"/>
        </w:rPr>
        <w:t xml:space="preserve">molmim_70m_24_3</w:t>
      </w:r>
      <w:r>
        <w:t xml:space="preserve"> </w:t>
      </w:r>
      <w:r>
        <w:t xml:space="preserve">checkpoint, BioNeMo 1.5), used pretrained without energetic-domain fine-tuning as an out-of-domain reference. Molecules are produced by greedy–perturbate latent decoding (scaled radius 1.0, single seed), yielding 5 598 samples that are scored on the same surrogate. Its composite is on an uncalibrated scale and is not comparable to the other methods.</w:t>
      </w:r>
    </w:p>
    <w:p>
      <w:pPr>
        <w:pStyle w:val="MDPI31text"/>
        <w:ind w:left="2608"/>
      </w:pPr>
      <w:r>
        <w:rPr>
          <w:b/>
          <w:bCs/>
        </w:rPr>
        <w:t xml:space="preserve">REINVENT 4.</w:t>
      </w:r>
      <w:r>
        <w:t xml:space="preserve"> </w:t>
      </w:r>
      <w:r>
        <w:t xml:space="preserve">AstraZeneca REINVENT 4 (v4.4.12) with reinforcement-learning fine-tuning of its built-in SMILES-transformer prior under an N-fraction-oriented reward (N-rich substructure match, synthetic-accessibility penalty, molecular-weight floor, CHNO alerts), with no DGLD-corpus pretraining. The 40 000-target run uses 8 000 reinforcement-learning steps; a multi-seed variant uses staged learning (2 000 steps, DAP,</w:t>
      </w:r>
      <w:r>
        <w:t xml:space="preserve"> </w:t>
      </w:r>
      <m:oMath>
        <m:r>
          <m:t>σ</m:t>
        </m:r>
        <m:r>
          <m:rPr>
            <m:sty m:val="p"/>
          </m:rPr>
          <m:t>=</m:t>
        </m:r>
        <m:r>
          <m:t>128</m:t>
        </m:r>
      </m:oMath>
      <w:r>
        <w:t xml:space="preserve">, seeds 42/1/2). Because the reward does not target</w:t>
      </w:r>
      <w:r>
        <w:t xml:space="preserve"> </w:t>
      </w:r>
      <m:oMath>
        <m:r>
          <m:t>ρ</m:t>
        </m:r>
      </m:oMath>
      <w:r>
        <w:t xml:space="preserve">/</w:t>
      </w:r>
      <m:oMath>
        <m:r>
          <m:t>D</m:t>
        </m:r>
      </m:oMath>
      <w:r>
        <w:t xml:space="preserve">/</w:t>
      </w:r>
      <m:oMath>
        <m:r>
          <m:t>P</m:t>
        </m:r>
      </m:oMath>
      <w:r>
        <w:t xml:space="preserve"> </w:t>
      </w:r>
      <w:r>
        <w:t xml:space="preserve">directly, the top-100 by N-fraction are scored post hoc on the same surrogate.</w:t>
      </w:r>
    </w:p>
    <w:p>
      <w:pPr>
        <w:pStyle w:val="MDPI31text"/>
        <w:ind w:left="2608"/>
      </w:pPr>
      <w:r>
        <w:t xml:space="preserve">All four baselines are scored on the same Uni-Mol surrogate; only the SELFIES-GA best-novel candidate is carried to DFT. The reranker composite is generator-internal for SELFIES-GA, an N-fraction proxy for REINVENT 4, and uncalibrated for MolMIM, so composite values are compared within, not across, methods.</w:t>
      </w:r>
    </w:p>
    <w:p>
      <w:pPr>
        <w:pStyle w:val="MDPI21heading1"/>
        <w:ind w:left="2608"/>
      </w:pPr>
      <w:r>
        <w:t xml:space="preserve">5. Conclusions</w:t>
      </w:r>
    </w:p>
    <w:p>
      <w:pPr>
        <w:pStyle w:val="MDPI32textnoindent"/>
        <w:ind w:left="2608"/>
      </w:pPr>
      <w:r>
        <w:t xml:space="preserve">DGLD demonstrates that a label-quality gate at training time, multi-head score-model guidance at sample time, and a four-stage chemistry-validation funnel are sufficient to produce novel CHNO leads in the HMX/PETN performance band on commodity hardware. Twelve lead cards (11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w:t>
      </w:r>
      <w:r>
        <w:t xml:space="preserve">and is structurally dissimilar from all 65 980 training molecules (nearest-neighbour Tanimoto 0.27). Three strong energetics-domain baselines fail the novel-and-on-target test on the same compute: SMILES-LSTM memorises 18.3% of outputs; SELFIES-GA sees its best novel candidate collapse 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REINVENT 4 generates novel high-N heterocycles but peaks at</w:t>
      </w:r>
      <w:r>
        <w:t xml:space="preserve"> </w:t>
      </w:r>
      <m:oMath>
        <m:r>
          <m:t>D</m:t>
        </m:r>
        <m:r>
          <m:rPr>
            <m:sty m:val="p"/>
          </m:rPr>
          <m:t>=</m:t>
        </m:r>
        <m:r>
          <m:t>9.02</m:t>
        </m:r>
      </m:oMath>
      <w:r>
        <w:t xml:space="preserve"> km s</w:t>
      </w:r>
      <w:r>
        <w:rPr>
          <w:vertAlign w:val="superscript"/>
        </w:rPr>
        <w:t xml:space="preserve">−1</w:t>
      </w:r>
      <w:r>
        <w:t xml:space="preserve">. Across all four baselines, among the baselines only SELFIES-GA's top candidate was DFT-audited (and collapsed); DGLD is the only method with productive-quadrant coverage confirmed at DFT level. (Kamlet–Jacobs relative ranking throughout; absolute</w:t>
      </w:r>
      <w:r>
        <w:t xml:space="preserve"> </w:t>
      </w:r>
      <m:oMath>
        <m:r>
          <m:t>D</m:t>
        </m:r>
      </m:oMath>
      <w:r>
        <w:t xml:space="preserve"> </w:t>
      </w:r>
      <w:r>
        <w:t xml:space="preserve">requires a thermochemical-equilibrium solver, Section 3.)</w:t>
      </w:r>
    </w:p>
    <w:p>
      <w:pPr>
        <w:pStyle w:val="MDPI31text"/>
        <w:ind w:left="2608"/>
      </w:pPr>
      <w:r>
        <w:t xml:space="preserve">A second lead, E1 (4-nitro-1,2,3,5-oxatriazole), reaches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and</w:t>
      </w:r>
      <w:r>
        <w:t xml:space="preserve"> </w:t>
      </w:r>
      <m:oMath>
        <m:sSub>
          <m:e>
            <m:r>
              <m:t>ρ</m:t>
            </m:r>
          </m:e>
          <m:sub>
            <m:r>
              <m:rPr>
                <m:nor/>
                <m:sty m:val="p"/>
              </m:rPr>
              <m:t>cal</m:t>
            </m:r>
          </m:sub>
        </m:sSub>
        <m:r>
          <m:rPr>
            <m:sty m:val="p"/>
          </m:rPr>
          <m:t>=</m:t>
        </m:r>
        <m:r>
          <m:t>2.04</m:t>
        </m:r>
      </m:oMath>
      <w:r>
        <w:t xml:space="preserve"> g cm</w:t>
      </w:r>
      <w:r>
        <w:rPr>
          <w:vertAlign w:val="superscript"/>
        </w:rPr>
        <w:t xml:space="preserve">−3</w:t>
      </w:r>
      <w:r>
        <w:t xml:space="preserve"> </w:t>
      </w:r>
      <w:r>
        <w:t xml:space="preserve">from a chemotype family disjoint from the L1 isoxazole class, flagging E1 as a chemically distinct candidate whose calibrated D is an upper bound pending thermal stability confirmation and a 1,2,3,5-oxatriazole-class DFT anchor (Section 3). L1 and E1 are two leads from two distinct scaffold families produced on a single sampling run, so the productive-quadrant coverage spans multiple chemotypes.</w:t>
      </w:r>
    </w:p>
    <w:p>
      <w:pPr>
        <w:pStyle w:val="MDPI31text"/>
        <w:ind w:left="2608"/>
      </w:pPr>
      <w:r>
        <w:rPr>
          <w:b/>
          <w:bCs/>
        </w:rPr>
        <w:t xml:space="preserve">Recommendation for synthesis-and-characterisation.</w:t>
      </w:r>
      <w:r>
        <w:t xml:space="preserve"> </w:t>
      </w:r>
      <w:r>
        <w:t xml:space="preserve">L1 meets five criteria for an experimental campaign: it is absent from PubChem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Section 2.4; subject to the Supplementary Section D.14 acyl-azide intermediate hazard noted there: DPPA Curtius rearrangement, the acyl-azide is a primary-explosive-class motif requiring careful handling), the GFN2-xTB HOMO–LUMO gap is 2.6 eV, the GFN2-xTB weakest-bond BDE is 86 kcal mol</w:t>
      </w:r>
      <w:r>
        <w:rPr>
          <w:vertAlign w:val="superscript"/>
        </w:rPr>
        <w:t xml:space="preserve">−1</w:t>
      </w:r>
      <w:r>
        <w:t xml:space="preserve"> </w:t>
      </w:r>
      <w:r>
        <w:t xml:space="preserve">on a C–NO</w:t>
      </w:r>
      <w:r>
        <w:rPr>
          <w:vertAlign w:val="subscript"/>
        </w:rPr>
        <w:t xml:space="preserve">2</w:t>
      </w:r>
      <w:r>
        <w:t xml:space="preserve"> </w:t>
      </w:r>
      <w:r>
        <w:t xml:space="preserve">bond (the dominant decomposition channel; nitro loss, with no sub-80 kcal mol</w:t>
      </w:r>
      <w:r>
        <w:rPr>
          <w:vertAlign w:val="superscript"/>
        </w:rPr>
        <w:t xml:space="preserve">−1</w:t>
      </w:r>
      <w:r>
        <w:t xml:space="preserve"> </w:t>
      </w:r>
      <w:r>
        <w:t xml:space="preserve">primary-explosive sensitivity flag), and DFT confirms a real local minimum. Polymorph screening and crystal-density refinement (Section 3) are required before any density-derived performance claim can be considered quantitative.</w:t>
      </w:r>
    </w:p>
    <w:p>
      <w:pPr>
        <w:pStyle w:val="MDPI31text"/>
        <w:ind w:left="2608"/>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1/12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(Section 5), so the next compound to enter the HMX-class band can be discovered, validated, and recommended for synthesis at the cost of a few GPU-days.</w:t>
      </w:r>
    </w:p>
    <w:p>
      <w:pPr>
        <w:pStyle w:val="MDPI21heading1"/>
        <w:ind w:left="2608"/>
      </w:pPr>
      <w:r>
        <w:t xml:space="preserve">References</w:t>
      </w:r>
    </w:p>
    <w:p>
      <w:pPr>
        <w:pStyle w:val="MDPI81references"/>
        <w:numPr>
          <w:ilvl w:val="0"/>
          <w:numId w:val="0"/>
        </w:numPr>
        <w:ind w:left="180" w:hanging="180"/>
      </w:pPr>
      <w:bookmarkStart w:id="138"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38"/>
    </w:p>
    <w:p>
      <w:pPr>
        <w:pStyle w:val="MDPI81references"/>
        <w:numPr>
          <w:ilvl w:val="0"/>
          <w:numId w:val="0"/>
        </w:numPr>
        <w:ind w:left="180" w:hanging="180"/>
      </w:pPr>
      <w:bookmarkStart w:id="139"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39"/>
    </w:p>
    <w:p>
      <w:pPr>
        <w:pStyle w:val="MDPI81references"/>
        <w:numPr>
          <w:ilvl w:val="0"/>
          <w:numId w:val="0"/>
        </w:numPr>
        <w:ind w:left="180" w:hanging="180"/>
      </w:pPr>
      <w:bookmarkStart w:id="140" w:name="ref-zhou2023unimol"/>
      <w:r>
        <w:t xml:space="preserve">Zhou, G. et al. (2023). Uni-Mol: A Universal 3D Molecular Representation Learning Framework.</w:t>
      </w:r>
      <w:r>
        <w:t xml:space="preserve"> </w:t>
      </w:r>
      <w:r>
        <w:rPr>
          <w:i/>
          <w:iCs/>
        </w:rPr>
        <w:t xml:space="preserve">ICLR 2023</w:t>
      </w:r>
      <w:r>
        <w:t xml:space="preserve">.</w:t>
      </w:r>
      <w:bookmarkEnd w:id="140"/>
    </w:p>
    <w:p>
      <w:pPr>
        <w:pStyle w:val="MDPI81references"/>
        <w:numPr>
          <w:ilvl w:val="0"/>
          <w:numId w:val="0"/>
        </w:numPr>
        <w:ind w:left="180" w:hanging="180"/>
      </w:pPr>
      <w:bookmarkStart w:id="141" w:name="ref-ho2022cfg"/>
      <w:r>
        <w:t xml:space="preserve">Ho, J., &amp; Salimans, T. (2022). Classifier-Free Diffusion Guidance. arXiv:2207.12598.</w:t>
      </w:r>
      <w:bookmarkEnd w:id="141"/>
    </w:p>
    <w:p>
      <w:pPr>
        <w:pStyle w:val="MDPI81references"/>
        <w:numPr>
          <w:ilvl w:val="0"/>
          <w:numId w:val="0"/>
        </w:numPr>
        <w:ind w:left="180" w:hanging="180"/>
      </w:pPr>
      <w:bookmarkStart w:id="142"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42"/>
    </w:p>
    <w:p>
      <w:pPr>
        <w:pStyle w:val="MDPI81references"/>
        <w:numPr>
          <w:ilvl w:val="0"/>
          <w:numId w:val="0"/>
        </w:numPr>
        <w:ind w:left="180" w:hanging="180"/>
      </w:pPr>
      <w:bookmarkStart w:id="143"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43"/>
    </w:p>
    <w:p>
      <w:pPr>
        <w:pStyle w:val="MDPI81references"/>
        <w:numPr>
          <w:ilvl w:val="0"/>
          <w:numId w:val="0"/>
        </w:numPr>
        <w:ind w:left="180" w:hanging="180"/>
      </w:pPr>
      <w:bookmarkStart w:id="144"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44"/>
    </w:p>
    <w:p>
      <w:pPr>
        <w:pStyle w:val="MDPI81references"/>
        <w:numPr>
          <w:ilvl w:val="0"/>
          <w:numId w:val="0"/>
        </w:numPr>
        <w:ind w:left="180" w:hanging="180"/>
      </w:pPr>
      <w:bookmarkStart w:id="145"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45"/>
    </w:p>
    <w:p>
      <w:pPr>
        <w:pStyle w:val="MDPI81references"/>
        <w:numPr>
          <w:ilvl w:val="0"/>
          <w:numId w:val="0"/>
        </w:numPr>
        <w:ind w:left="180" w:hanging="180"/>
      </w:pPr>
      <w:bookmarkStart w:id="146"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46"/>
    </w:p>
    <w:p>
      <w:pPr>
        <w:pStyle w:val="MDPI81references"/>
        <w:numPr>
          <w:ilvl w:val="0"/>
          <w:numId w:val="0"/>
        </w:numPr>
        <w:ind w:left="180" w:hanging="180"/>
      </w:pPr>
      <w:bookmarkStart w:id="147"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47"/>
    </w:p>
    <w:p>
      <w:pPr>
        <w:pStyle w:val="MDPI81references"/>
        <w:numPr>
          <w:ilvl w:val="0"/>
          <w:numId w:val="0"/>
        </w:numPr>
        <w:ind w:left="180" w:hanging="180"/>
      </w:pPr>
      <w:bookmarkStart w:id="148" w:name="ref-reidenbach2023molmim"/>
      <w:r>
        <w:t xml:space="preserve">Reidenbach, D., Livne, M., Ilango, R. K., Gill, M., &amp; Israeli, J. (2023). MolMIM: A Molecular Language Model for Property-Guided Molecule Generation via Mutual Information Machines. (MLDD Workshop, ICLR 2023; arXiv:2208.09016).</w:t>
      </w:r>
      <w:bookmarkEnd w:id="148"/>
    </w:p>
    <w:p>
      <w:pPr>
        <w:pStyle w:val="MDPI81references"/>
        <w:numPr>
          <w:ilvl w:val="0"/>
          <w:numId w:val="0"/>
        </w:numPr>
        <w:ind w:left="180" w:hanging="180"/>
      </w:pPr>
      <w:bookmarkStart w:id="149" w:name="ref-jaegle2021perceiver"/>
      <w:r>
        <w:t xml:space="preserve">Jaegle, A. et al. (2021). Perceiver: General Perception with Iterative Attention.</w:t>
      </w:r>
      <w:r>
        <w:t xml:space="preserve"> </w:t>
      </w:r>
      <w:r>
        <w:rPr>
          <w:i/>
          <w:iCs/>
        </w:rPr>
        <w:t xml:space="preserve">ICML 2021</w:t>
      </w:r>
      <w:r>
        <w:t xml:space="preserve">. arXiv:2103.03206.</w:t>
      </w:r>
      <w:bookmarkEnd w:id="149"/>
    </w:p>
    <w:p>
      <w:pPr>
        <w:pStyle w:val="MDPI81references"/>
        <w:numPr>
          <w:ilvl w:val="0"/>
          <w:numId w:val="0"/>
        </w:numPr>
        <w:ind w:left="180" w:hanging="180"/>
      </w:pPr>
      <w:bookmarkStart w:id="150"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50"/>
    </w:p>
    <w:p>
      <w:pPr>
        <w:pStyle w:val="MDPI81references"/>
        <w:numPr>
          <w:ilvl w:val="0"/>
          <w:numId w:val="0"/>
        </w:numPr>
        <w:ind w:left="180" w:hanging="180"/>
      </w:pPr>
      <w:bookmarkStart w:id="151"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51"/>
    </w:p>
    <w:p>
      <w:pPr>
        <w:pStyle w:val="MDPI81references"/>
        <w:numPr>
          <w:ilvl w:val="0"/>
          <w:numId w:val="0"/>
        </w:numPr>
        <w:ind w:left="180" w:hanging="180"/>
      </w:pPr>
      <w:bookmarkStart w:id="152"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52"/>
    </w:p>
    <w:p>
      <w:pPr>
        <w:pStyle w:val="MDPI81references"/>
        <w:numPr>
          <w:ilvl w:val="0"/>
          <w:numId w:val="0"/>
        </w:numPr>
        <w:ind w:left="180" w:hanging="180"/>
      </w:pPr>
      <w:bookmarkStart w:id="153"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53"/>
    </w:p>
    <w:p>
      <w:pPr>
        <w:pStyle w:val="MDPI81references"/>
        <w:numPr>
          <w:ilvl w:val="0"/>
          <w:numId w:val="0"/>
        </w:numPr>
        <w:ind w:left="180" w:hanging="180"/>
      </w:pPr>
      <w:bookmarkStart w:id="154"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54"/>
    </w:p>
    <w:p>
      <w:pPr>
        <w:pStyle w:val="MDPI81references"/>
        <w:numPr>
          <w:ilvl w:val="0"/>
          <w:numId w:val="0"/>
        </w:numPr>
        <w:ind w:left="180" w:hanging="180"/>
      </w:pPr>
      <w:bookmarkStart w:id="155"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55"/>
    </w:p>
    <w:p>
      <w:pPr>
        <w:pStyle w:val="MDPI81references"/>
        <w:numPr>
          <w:ilvl w:val="0"/>
          <w:numId w:val="0"/>
        </w:numPr>
        <w:ind w:left="180" w:hanging="180"/>
      </w:pPr>
      <w:bookmarkStart w:id="156"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56"/>
    </w:p>
    <w:p>
      <w:pPr>
        <w:pStyle w:val="MDPI81references"/>
        <w:numPr>
          <w:ilvl w:val="0"/>
          <w:numId w:val="0"/>
        </w:numPr>
        <w:ind w:left="180" w:hanging="180"/>
      </w:pPr>
      <w:bookmarkStart w:id="157" w:name="ref-vignac2023digress"/>
      <w:r>
        <w:t xml:space="preserve">Vignac, C. et al. (2023). DiGress: Discrete Denoising Diffusion for Graph Generation.</w:t>
      </w:r>
      <w:r>
        <w:t xml:space="preserve"> </w:t>
      </w:r>
      <w:r>
        <w:rPr>
          <w:i/>
          <w:iCs/>
        </w:rPr>
        <w:t xml:space="preserve">ICLR 2023</w:t>
      </w:r>
      <w:r>
        <w:t xml:space="preserve">. arXiv:2209.14734.</w:t>
      </w:r>
      <w:bookmarkEnd w:id="157"/>
    </w:p>
    <w:p>
      <w:pPr>
        <w:pStyle w:val="MDPI81references"/>
        <w:numPr>
          <w:ilvl w:val="0"/>
          <w:numId w:val="0"/>
        </w:numPr>
        <w:ind w:left="180" w:hanging="180"/>
      </w:pPr>
      <w:bookmarkStart w:id="158" w:name="ref-ho2020ddpm"/>
      <w:r>
        <w:t xml:space="preserve">Ho, J., Jain, A., &amp; Abbeel, P. (2020). Denoising Diffusion Probabilistic Models.</w:t>
      </w:r>
      <w:r>
        <w:t xml:space="preserve"> </w:t>
      </w:r>
      <w:r>
        <w:rPr>
          <w:i/>
          <w:iCs/>
        </w:rPr>
        <w:t xml:space="preserve">NeurIPS 2020</w:t>
      </w:r>
      <w:r>
        <w:t xml:space="preserve">. arXiv:2006.11239.</w:t>
      </w:r>
      <w:bookmarkEnd w:id="158"/>
    </w:p>
    <w:p>
      <w:pPr>
        <w:pStyle w:val="MDPI81references"/>
        <w:numPr>
          <w:ilvl w:val="0"/>
          <w:numId w:val="0"/>
        </w:numPr>
        <w:ind w:left="180" w:hanging="180"/>
      </w:pPr>
      <w:bookmarkStart w:id="159"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59"/>
    </w:p>
    <w:p>
      <w:pPr>
        <w:pStyle w:val="MDPI81references"/>
        <w:numPr>
          <w:ilvl w:val="0"/>
          <w:numId w:val="0"/>
        </w:numPr>
        <w:ind w:left="180" w:hanging="180"/>
      </w:pPr>
      <w:bookmarkStart w:id="160"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60"/>
    </w:p>
    <w:p>
      <w:pPr>
        <w:pStyle w:val="MDPI81references"/>
        <w:numPr>
          <w:ilvl w:val="0"/>
          <w:numId w:val="0"/>
        </w:numPr>
        <w:ind w:left="180" w:hanging="180"/>
      </w:pPr>
      <w:bookmarkStart w:id="161"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61"/>
    </w:p>
    <w:p>
      <w:pPr>
        <w:pStyle w:val="MDPI81references"/>
        <w:numPr>
          <w:ilvl w:val="0"/>
          <w:numId w:val="0"/>
        </w:numPr>
        <w:ind w:left="180" w:hanging="180"/>
      </w:pPr>
      <w:bookmarkStart w:id="162"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2"/>
    </w:p>
    <w:p>
      <w:pPr>
        <w:pStyle w:val="MDPI81references"/>
        <w:numPr>
          <w:ilvl w:val="0"/>
          <w:numId w:val="0"/>
        </w:numPr>
        <w:ind w:left="180" w:hanging="180"/>
      </w:pPr>
      <w:bookmarkStart w:id="163"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63"/>
    </w:p>
    <w:p>
      <w:pPr>
        <w:pStyle w:val="MDPI81references"/>
        <w:numPr>
          <w:ilvl w:val="0"/>
          <w:numId w:val="0"/>
        </w:numPr>
        <w:ind w:left="180" w:hanging="180"/>
      </w:pPr>
      <w:bookmarkStart w:id="164"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64"/>
    </w:p>
    <w:p>
      <w:pPr>
        <w:pStyle w:val="MDPI81references"/>
        <w:numPr>
          <w:ilvl w:val="0"/>
          <w:numId w:val="0"/>
        </w:numPr>
        <w:ind w:left="180" w:hanging="180"/>
      </w:pPr>
      <w:bookmarkStart w:id="165"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65"/>
    </w:p>
    <w:p>
      <w:pPr>
        <w:pStyle w:val="MDPI81references"/>
        <w:numPr>
          <w:ilvl w:val="0"/>
          <w:numId w:val="0"/>
        </w:numPr>
        <w:ind w:left="180" w:hanging="180"/>
      </w:pPr>
      <w:bookmarkStart w:id="166"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66"/>
    </w:p>
    <w:p>
      <w:pPr>
        <w:pStyle w:val="MDPI81references"/>
        <w:numPr>
          <w:ilvl w:val="0"/>
          <w:numId w:val="0"/>
        </w:numPr>
        <w:ind w:left="180" w:hanging="180"/>
      </w:pPr>
      <w:bookmarkStart w:id="167"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67"/>
    </w:p>
    <w:p>
      <w:pPr>
        <w:pStyle w:val="MDPI81references"/>
        <w:numPr>
          <w:ilvl w:val="0"/>
          <w:numId w:val="0"/>
        </w:numPr>
        <w:ind w:left="180" w:hanging="180"/>
      </w:pPr>
      <w:bookmarkStart w:id="168"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68"/>
    </w:p>
    <w:p>
      <w:pPr>
        <w:pStyle w:val="MDPI81references"/>
        <w:numPr>
          <w:ilvl w:val="0"/>
          <w:numId w:val="0"/>
        </w:numPr>
        <w:ind w:left="180" w:hanging="180"/>
      </w:pPr>
      <w:bookmarkStart w:id="169"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69"/>
    </w:p>
    <w:p>
      <w:pPr>
        <w:pStyle w:val="MDPI81references"/>
        <w:numPr>
          <w:ilvl w:val="0"/>
          <w:numId w:val="0"/>
        </w:numPr>
        <w:ind w:left="180" w:hanging="180"/>
      </w:pPr>
      <w:bookmarkStart w:id="170"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70"/>
    </w:p>
    <w:p>
      <w:pPr>
        <w:pStyle w:val="MDPI81references"/>
        <w:numPr>
          <w:ilvl w:val="0"/>
          <w:numId w:val="0"/>
        </w:numPr>
        <w:ind w:left="180" w:hanging="180"/>
      </w:pPr>
      <w:bookmarkStart w:id="171"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71"/>
    </w:p>
    <w:p>
      <w:pPr>
        <w:pStyle w:val="MDPI81references"/>
        <w:numPr>
          <w:ilvl w:val="0"/>
          <w:numId w:val="0"/>
        </w:numPr>
        <w:ind w:left="180" w:hanging="180"/>
      </w:pPr>
      <w:bookmarkStart w:id="172"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72"/>
    </w:p>
    <w:p>
      <w:pPr>
        <w:pStyle w:val="MDPI81references"/>
        <w:numPr>
          <w:ilvl w:val="0"/>
          <w:numId w:val="0"/>
        </w:numPr>
        <w:ind w:left="180" w:hanging="180"/>
      </w:pPr>
      <w:bookmarkStart w:id="173"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73"/>
    </w:p>
    <w:p>
      <w:pPr>
        <w:pStyle w:val="MDPI81references"/>
        <w:numPr>
          <w:ilvl w:val="0"/>
          <w:numId w:val="0"/>
        </w:numPr>
        <w:ind w:left="180" w:hanging="180"/>
      </w:pPr>
      <w:bookmarkStart w:id="174"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74"/>
    </w:p>
    <w:p>
      <w:pPr>
        <w:pStyle w:val="MDPI81references"/>
        <w:numPr>
          <w:ilvl w:val="0"/>
          <w:numId w:val="0"/>
        </w:numPr>
        <w:ind w:left="180" w:hanging="180"/>
      </w:pPr>
      <w:bookmarkStart w:id="175"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75"/>
    </w:p>
    <w:p>
      <w:pPr>
        <w:pStyle w:val="MDPI81references"/>
        <w:numPr>
          <w:ilvl w:val="0"/>
          <w:numId w:val="0"/>
        </w:numPr>
        <w:ind w:left="180" w:hanging="180"/>
      </w:pPr>
      <w:bookmarkStart w:id="176"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76"/>
    </w:p>
    <w:p>
      <w:pPr>
        <w:pStyle w:val="MDPI81references"/>
        <w:numPr>
          <w:ilvl w:val="0"/>
          <w:numId w:val="0"/>
        </w:numPr>
        <w:ind w:left="180" w:hanging="180"/>
      </w:pPr>
      <w:bookmarkStart w:id="177"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77"/>
    </w:p>
    <w:p>
      <w:pPr>
        <w:pStyle w:val="MDPI81references"/>
        <w:numPr>
          <w:ilvl w:val="0"/>
          <w:numId w:val="0"/>
        </w:numPr>
        <w:ind w:left="180" w:hanging="180"/>
      </w:pPr>
      <w:bookmarkStart w:id="178" w:name="ref-bondi1964vdw"/>
      <w:r>
        <w:t xml:space="preserve">Bondi, A. (1964). van der Waals Volumes and Radii.</w:t>
      </w:r>
      <w:r>
        <w:t xml:space="preserve"> </w:t>
      </w:r>
      <w:r>
        <w:rPr>
          <w:i/>
          <w:iCs/>
        </w:rPr>
        <w:t xml:space="preserve">J. Phys. Chem. 68(3)</w:t>
      </w:r>
      <w:r>
        <w:t xml:space="preserve">:441–451. doi:10.1021/j100785a001.</w:t>
      </w:r>
      <w:bookmarkEnd w:id="178"/>
    </w:p>
    <w:p>
      <w:pPr>
        <w:pStyle w:val="MDPI81references"/>
        <w:numPr>
          <w:ilvl w:val="0"/>
          <w:numId w:val="0"/>
        </w:numPr>
        <w:ind w:left="180" w:hanging="180"/>
      </w:pPr>
      <w:bookmarkStart w:id="179"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79"/>
    </w:p>
    <w:p>
      <w:pPr>
        <w:pStyle w:val="MDPI81references"/>
        <w:numPr>
          <w:ilvl w:val="0"/>
          <w:numId w:val="0"/>
        </w:numPr>
        <w:ind w:left="180" w:hanging="180"/>
      </w:pPr>
      <w:bookmarkStart w:id="180"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80"/>
    </w:p>
    <w:p>
      <w:pPr>
        <w:pStyle w:val="MDPI81references"/>
        <w:numPr>
          <w:ilvl w:val="0"/>
          <w:numId w:val="0"/>
        </w:numPr>
        <w:ind w:left="180" w:hanging="180"/>
      </w:pPr>
      <w:bookmarkStart w:id="181" w:name="ref-klapotke2017nitrogen"/>
      <w:r>
        <w:t xml:space="preserve">Klapötke, T. M.</w:t>
      </w:r>
      <w:r>
        <w:t xml:space="preserve"> </w:t>
      </w:r>
      <w:r>
        <w:rPr>
          <w:i/>
          <w:iCs/>
        </w:rPr>
        <w:t xml:space="preserve">Chemistry of High-Energy Materials</w:t>
      </w:r>
      <w:r>
        <w:t xml:space="preserve">, 5th ed. (de Gruyter, 2019). doi:10.1515/9783110624571.</w:t>
      </w:r>
      <w:bookmarkEnd w:id="181"/>
    </w:p>
    <w:p>
      <w:pPr>
        <w:pStyle w:val="MDPI81references"/>
        <w:numPr>
          <w:ilvl w:val="0"/>
          <w:numId w:val="0"/>
        </w:numPr>
        <w:ind w:left="180" w:hanging="180"/>
      </w:pPr>
      <w:bookmarkStart w:id="182"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82"/>
    </w:p>
    <w:p>
      <w:pPr>
        <w:pStyle w:val="MDPI81references"/>
        <w:numPr>
          <w:ilvl w:val="0"/>
          <w:numId w:val="0"/>
        </w:numPr>
        <w:ind w:left="180" w:hanging="180"/>
      </w:pPr>
      <w:bookmarkStart w:id="183"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83"/>
    </w:p>
    <w:p>
      <w:pPr>
        <w:pStyle w:val="MDPI81references"/>
        <w:numPr>
          <w:ilvl w:val="0"/>
          <w:numId w:val="0"/>
        </w:numPr>
        <w:ind w:left="180" w:hanging="180"/>
      </w:pPr>
      <w:bookmarkStart w:id="184"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84"/>
    </w:p>
    <w:p>
      <w:pPr>
        <w:pStyle w:val="MDPI81references"/>
        <w:numPr>
          <w:ilvl w:val="0"/>
          <w:numId w:val="0"/>
        </w:numPr>
        <w:ind w:left="180" w:hanging="180"/>
      </w:pPr>
      <w:bookmarkStart w:id="185"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85"/>
    </w:p>
    <w:p>
      <w:pPr>
        <w:pStyle w:val="MDPI81references"/>
        <w:numPr>
          <w:ilvl w:val="0"/>
          <w:numId w:val="0"/>
        </w:numPr>
        <w:ind w:left="180" w:hanging="180"/>
      </w:pPr>
      <w:bookmarkStart w:id="186"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86"/>
    </w:p>
    <w:p>
      <w:pPr>
        <w:pStyle w:val="MDPI81references"/>
        <w:numPr>
          <w:ilvl w:val="0"/>
          <w:numId w:val="0"/>
        </w:numPr>
        <w:ind w:left="180" w:hanging="180"/>
      </w:pPr>
      <w:bookmarkStart w:id="187"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87"/>
    </w:p>
    <w:p>
      <w:pPr>
        <w:pStyle w:val="MDPI81references"/>
        <w:numPr>
          <w:ilvl w:val="0"/>
          <w:numId w:val="0"/>
        </w:numPr>
        <w:ind w:left="180" w:hanging="180"/>
      </w:pPr>
      <w:bookmarkStart w:id="188"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88"/>
    </w:p>
    <w:p>
      <w:pPr>
        <w:pStyle w:val="MDPI81references"/>
        <w:numPr>
          <w:ilvl w:val="0"/>
          <w:numId w:val="0"/>
        </w:numPr>
        <w:ind w:left="180" w:hanging="180"/>
      </w:pPr>
      <w:bookmarkStart w:id="189"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89"/>
    </w:p>
    <w:p>
      <w:pPr>
        <w:pStyle w:val="MDPI81references"/>
        <w:numPr>
          <w:ilvl w:val="0"/>
          <w:numId w:val="0"/>
        </w:numPr>
        <w:ind w:left="180" w:hanging="180"/>
      </w:pPr>
      <w:bookmarkStart w:id="190" w:name="ref-reymond2015gdb"/>
      <w:r>
        <w:t xml:space="preserve">Reymond, J.-L. (2015). The chemical space project.</w:t>
      </w:r>
      <w:r>
        <w:t xml:space="preserve"> </w:t>
      </w:r>
      <w:r>
        <w:rPr>
          <w:i/>
          <w:iCs/>
        </w:rPr>
        <w:t xml:space="preserve">Acc. Chem. Res. 48(3)</w:t>
      </w:r>
      <w:r>
        <w:t xml:space="preserve">:722–730.</w:t>
      </w:r>
      <w:bookmarkEnd w:id="190"/>
    </w:p>
    <w:p>
      <w:pPr>
        <w:pStyle w:val="MDPI81references"/>
        <w:numPr>
          <w:ilvl w:val="0"/>
          <w:numId w:val="0"/>
        </w:numPr>
        <w:ind w:left="180" w:hanging="180"/>
      </w:pPr>
      <w:bookmarkStart w:id="191" w:name="ref-sterling2015zinc"/>
      <w:r>
        <w:t xml:space="preserve">Sterling, T., &amp; Irwin, J. J. (2015). ZINC 15: Ligand Discovery for Everyone.</w:t>
      </w:r>
      <w:r>
        <w:t xml:space="preserve"> </w:t>
      </w:r>
      <w:r>
        <w:rPr>
          <w:i/>
          <w:iCs/>
        </w:rPr>
        <w:t xml:space="preserve">J. Chem. Inf. Model. 55(11)</w:t>
      </w:r>
      <w:r>
        <w:t xml:space="preserve">:2324–2337.</w:t>
      </w:r>
      <w:bookmarkEnd w:id="191"/>
    </w:p>
    <w:p>
      <w:pPr>
        <w:pStyle w:val="MDPI81references"/>
        <w:numPr>
          <w:ilvl w:val="0"/>
          <w:numId w:val="0"/>
        </w:numPr>
        <w:ind w:left="180" w:hanging="180"/>
      </w:pPr>
      <w:bookmarkStart w:id="192"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92"/>
    </w:p>
    <w:p>
      <w:pPr>
        <w:pStyle w:val="MDPI81references"/>
        <w:numPr>
          <w:ilvl w:val="0"/>
          <w:numId w:val="0"/>
        </w:numPr>
        <w:ind w:left="180" w:hanging="180"/>
      </w:pPr>
      <w:bookmarkStart w:id="193"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93"/>
    </w:p>
    <w:p>
      <w:pPr>
        <w:pStyle w:val="MDPI81references"/>
        <w:numPr>
          <w:ilvl w:val="0"/>
          <w:numId w:val="0"/>
        </w:numPr>
        <w:ind w:left="180" w:hanging="180"/>
      </w:pPr>
      <w:bookmarkStart w:id="194" w:name="ref-rogers1960computer"/>
      <w:r>
        <w:t xml:space="preserve">Rogers, D. J., &amp; Tanimoto, T. T. (1960). A Computer Program for Classifying Plants.</w:t>
      </w:r>
      <w:r>
        <w:t xml:space="preserve"> </w:t>
      </w:r>
      <w:r>
        <w:rPr>
          <w:i/>
          <w:iCs/>
        </w:rPr>
        <w:t xml:space="preserve">Science 132(3434)</w:t>
      </w:r>
      <w:r>
        <w:t xml:space="preserve">:1115–1118.</w:t>
      </w:r>
      <w:bookmarkEnd w:id="194"/>
    </w:p>
    <w:p>
      <w:pPr>
        <w:pStyle w:val="MDPI81references"/>
        <w:numPr>
          <w:ilvl w:val="0"/>
          <w:numId w:val="0"/>
        </w:numPr>
        <w:ind w:left="180" w:hanging="180"/>
      </w:pPr>
      <w:bookmarkStart w:id="195"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195"/>
    </w:p>
    <w:p>
      <w:pPr>
        <w:pStyle w:val="MDPI81references"/>
        <w:numPr>
          <w:ilvl w:val="0"/>
          <w:numId w:val="0"/>
        </w:numPr>
        <w:ind w:left="180" w:hanging="180"/>
      </w:pPr>
      <w:bookmarkStart w:id="196"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96"/>
    </w:p>
    <w:p>
      <w:pPr>
        <w:pStyle w:val="MDPI81references"/>
        <w:numPr>
          <w:ilvl w:val="0"/>
          <w:numId w:val="0"/>
        </w:numPr>
        <w:ind w:left="180" w:hanging="180"/>
      </w:pPr>
      <w:bookmarkStart w:id="197"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97"/>
    </w:p>
    <w:p>
      <w:pPr>
        <w:pStyle w:val="MDPI81references"/>
        <w:numPr>
          <w:ilvl w:val="0"/>
          <w:numId w:val="0"/>
        </w:numPr>
        <w:ind w:left="180" w:hanging="180"/>
      </w:pPr>
      <w:bookmarkStart w:id="198"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198"/>
    </w:p>
    <w:p>
      <w:pPr>
        <w:pStyle w:val="MDPI81references"/>
        <w:numPr>
          <w:ilvl w:val="0"/>
          <w:numId w:val="0"/>
        </w:numPr>
        <w:ind w:left="180" w:hanging="180"/>
      </w:pPr>
      <w:bookmarkStart w:id="199"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199"/>
    </w:p>
    <w:p>
      <w:pPr>
        <w:pStyle w:val="MDPI81references"/>
        <w:numPr>
          <w:ilvl w:val="0"/>
          <w:numId w:val="0"/>
        </w:numPr>
        <w:ind w:left="180" w:hanging="180"/>
      </w:pPr>
      <w:bookmarkStart w:id="200"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200"/>
    </w:p>
    <w:p>
      <w:pPr>
        <w:pStyle w:val="MDPI81references"/>
        <w:numPr>
          <w:ilvl w:val="0"/>
          <w:numId w:val="0"/>
        </w:numPr>
        <w:ind w:left="180" w:hanging="180"/>
      </w:pPr>
      <w:bookmarkStart w:id="201"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201"/>
    </w:p>
    <w:p>
      <w:pPr>
        <w:pStyle w:val="MDPI81references"/>
        <w:numPr>
          <w:ilvl w:val="0"/>
          <w:numId w:val="0"/>
        </w:numPr>
        <w:ind w:left="180" w:hanging="180"/>
      </w:pPr>
      <w:bookmarkStart w:id="202" w:name="ref-kim2023pubchem"/>
      <w:r>
        <w:t xml:space="preserve">Kim, S. et al. (2023). PubChem 2023 Update.</w:t>
      </w:r>
      <w:r>
        <w:t xml:space="preserve"> </w:t>
      </w:r>
      <w:r>
        <w:rPr>
          <w:i/>
          <w:iCs/>
        </w:rPr>
        <w:t xml:space="preserve">Nucleic Acids Res. 51(D1)</w:t>
      </w:r>
      <w:r>
        <w:t xml:space="preserve">:D1373–D1380.</w:t>
      </w:r>
      <w:bookmarkEnd w:id="202"/>
    </w:p>
    <w:p>
      <w:pPr>
        <w:pStyle w:val="MDPI81references"/>
        <w:numPr>
          <w:ilvl w:val="0"/>
          <w:numId w:val="0"/>
        </w:numPr>
        <w:ind w:left="180" w:hanging="180"/>
      </w:pPr>
      <w:bookmarkStart w:id="203"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03"/>
    </w:p>
    <w:p>
      <w:pPr>
        <w:pStyle w:val="MDPI81references"/>
        <w:numPr>
          <w:ilvl w:val="0"/>
          <w:numId w:val="0"/>
        </w:numPr>
        <w:ind w:left="180" w:hanging="180"/>
      </w:pPr>
      <w:bookmarkStart w:id="204"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204"/>
    </w:p>
    <w:p>
      <w:pPr>
        <w:pStyle w:val="MDPI81references"/>
        <w:numPr>
          <w:ilvl w:val="0"/>
          <w:numId w:val="0"/>
        </w:numPr>
        <w:ind w:left="180" w:hanging="180"/>
      </w:pPr>
      <w:bookmarkStart w:id="206" w:name="ref-landrum2024rdkit"/>
      <w:r>
        <w:t xml:space="preserve">Landrum, G., &amp; contributors. RDKit: Open-source cheminformatics.</w:t>
      </w:r>
      <w:r>
        <w:t xml:space="preserve"> </w:t>
      </w:r>
      <w:hyperlink r:id="rId42">
        <w:r>
          <w:rPr>
            <w:rStyle w:val="Hyperlink"/>
          </w:rPr>
          <w:t xml:space="preserve">rdkit.org</w:t>
        </w:r>
      </w:hyperlink>
      <w:r>
        <w:t xml:space="preserve">.</w:t>
      </w:r>
      <w:bookmarkEnd w:id="206"/>
    </w:p>
    <w:p>
      <w:pPr>
        <w:pStyle w:val="MDPI81references"/>
        <w:numPr>
          <w:ilvl w:val="0"/>
          <w:numId w:val="0"/>
        </w:numPr>
        <w:ind w:left="180" w:hanging="180"/>
      </w:pPr>
      <w:bookmarkStart w:id="207"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07"/>
    </w:p>
    <w:p>
      <w:pPr>
        <w:pStyle w:val="MDPI81references"/>
        <w:numPr>
          <w:ilvl w:val="0"/>
          <w:numId w:val="0"/>
        </w:numPr>
        <w:ind w:left="180" w:hanging="180"/>
      </w:pPr>
      <w:bookmarkStart w:id="209" w:name="ref-daylight-smarts"/>
      <w:r>
        <w:t xml:space="preserve">Daylight Chemical Information Systems. (2007). SMARTS: A Language for Describing Molecular Patterns. Daylight Theory Manual, Aliso Viejo, CA.</w:t>
      </w:r>
      <w:r>
        <w:t xml:space="preserve"> </w:t>
      </w:r>
      <w:hyperlink r:id="rId43">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Section 4.10).</w:t>
      </w:r>
      <w:bookmarkEnd w:id="209"/>
    </w:p>
    <w:p>
      <w:pPr>
        <w:pStyle w:val="MDPI21heading1"/>
        <w:ind w:left="2608"/>
      </w:pPr>
      <w:r>
        <w:t xml:space="preserve">Supplementary Materials</w:t>
      </w:r>
    </w:p>
    <w:p>
      <w:pPr>
        <w:pStyle w:val="MDPI32textnoindent"/>
        <w:ind w:left="2608"/>
      </w:pPr>
      <w:r>
        <w:t xml:space="preserve">The following supporting information can be downloaded alongside this article: Supplementary</w:t>
      </w:r>
      <w:r>
        <w:t xml:space="preserve"> </w:t>
      </w:r>
      <w:r>
        <w:t xml:space="preserve">Information (Appendix A–F) containing full dataset provenance, complete model architecture and</w:t>
      </w:r>
      <w:r>
        <w:t xml:space="preserve"> </w:t>
      </w:r>
      <w:r>
        <w:t xml:space="preserve">hyperparameter tables, the first-principles (DFT) methodology and uncertainty bounds, reproducibility</w:t>
      </w:r>
      <w:r>
        <w:t xml:space="preserve"> </w:t>
      </w:r>
      <w:r>
        <w:t xml:space="preserve">details and extended ablations, baseline-method example outputs, and the detailed per-condition</w:t>
      </w:r>
      <w:r>
        <w:t xml:space="preserve"> </w:t>
      </w:r>
      <w:r>
        <w:t xml:space="preserve">ablations. File:</w:t>
      </w:r>
      <w:r>
        <w:t xml:space="preserve"> </w:t>
      </w:r>
      <w:r>
        <w:rPr>
          <w:rStyle w:val="VerbatimChar"/>
        </w:rPr>
        <w:t xml:space="preserve">molecules_paper_SI.html</w:t>
      </w:r>
      <w:r>
        <w:t xml:space="preserve"> </w:t>
      </w:r>
      <w:r>
        <w:t xml:space="preserve">(compiled to</w:t>
      </w:r>
      <w:r>
        <w:t xml:space="preserve"> </w:t>
      </w:r>
      <w:r>
        <w:rPr>
          <w:rStyle w:val="VerbatimChar"/>
        </w:rPr>
        <w:t xml:space="preserve">molecules_paper_SI.docx</w:t>
      </w:r>
      <w:r>
        <w:t xml:space="preserve">).</w:t>
      </w:r>
    </w:p>
    <w:p>
      <w:pPr>
        <w:pStyle w:val="MDPI21heading1"/>
        <w:ind w:left="2608"/>
      </w:pPr>
      <w:r>
        <w:t xml:space="preserve">Author Contributions</w:t>
      </w:r>
    </w:p>
    <w:p>
      <w:pPr>
        <w:pStyle w:val="MDPI32textnoindent"/>
        <w:ind w:left="2608"/>
      </w:pPr>
      <w:r>
        <w:t xml:space="preserve">Conceptualization, Y.A. and A.A.; methodology, Y.A. and A.A.; software, Y.A. and A.A.;</w:t>
      </w:r>
      <w:r>
        <w:t xml:space="preserve"> </w:t>
      </w:r>
      <w:r>
        <w:t xml:space="preserve">validation, Y.A. and A.A.; formal analysis, Y.A. and A.A.; investigation, Y.A. and A.A.;</w:t>
      </w:r>
      <w:r>
        <w:t xml:space="preserve"> </w:t>
      </w:r>
      <w:r>
        <w:t xml:space="preserve">data curation, Y.A. and A.A.; writing, original draft preparation, Y.A. and A.A.;</w:t>
      </w:r>
      <w:r>
        <w:t xml:space="preserve"> </w:t>
      </w:r>
      <w:r>
        <w:t xml:space="preserve">writing, review and editing, Y.A. and A.A.; visualization, Y.A. and A.A. All authors have read</w:t>
      </w:r>
      <w:r>
        <w:t xml:space="preserve"> </w:t>
      </w:r>
      <w:r>
        <w:t xml:space="preserve">and agreed to the published version of the manuscript.</w:t>
      </w:r>
    </w:p>
    <w:p>
      <w:pPr>
        <w:pStyle w:val="MDPI21heading1"/>
        <w:ind w:left="2608"/>
      </w:pPr>
      <w:r>
        <w:t xml:space="preserve">Funding</w:t>
      </w:r>
    </w:p>
    <w:p>
      <w:pPr>
        <w:pStyle w:val="MDPI32textnoindent"/>
        <w:ind w:left="2608"/>
      </w:pPr>
      <w:r>
        <w:t xml:space="preserve">This research received no external funding.</w:t>
      </w:r>
    </w:p>
    <w:p>
      <w:pPr>
        <w:pStyle w:val="MDPI21heading1"/>
        <w:ind w:left="2608"/>
      </w:pPr>
      <w:r>
        <w:t xml:space="preserve">Institutional Review Board Statement</w:t>
      </w:r>
    </w:p>
    <w:p>
      <w:pPr>
        <w:pStyle w:val="MDPI32textnoindent"/>
        <w:ind w:left="2608"/>
      </w:pPr>
      <w:r>
        <w:t xml:space="preserve">Not applicable.</w:t>
      </w:r>
    </w:p>
    <w:p>
      <w:pPr>
        <w:pStyle w:val="MDPI21heading1"/>
        <w:ind w:left="2608"/>
      </w:pPr>
      <w:r>
        <w:t xml:space="preserve">Informed Consent Statement</w:t>
      </w:r>
    </w:p>
    <w:p>
      <w:pPr>
        <w:pStyle w:val="MDPI32textnoindent"/>
        <w:ind w:left="2608"/>
      </w:pPr>
      <w:r>
        <w:t xml:space="preserve">Not applicable.</w:t>
      </w:r>
    </w:p>
    <w:p>
      <w:pPr>
        <w:pStyle w:val="MDPI21heading1"/>
        <w:ind w:left="2608"/>
      </w:pPr>
      <w:r>
        <w:t xml:space="preserve">Data Availability Statement</w:t>
      </w:r>
    </w:p>
    <w:p>
      <w:pPr>
        <w:pStyle w:val="MDPI32textnoindent"/>
        <w:ind w:left="2608"/>
      </w:pPr>
      <w:r>
        <w:t xml:space="preserve">All code, data, and trained models are released together as a single archived package on Zenodo at</w:t>
      </w:r>
      <w:r>
        <w:t xml:space="preserve"> </w:t>
      </w:r>
      <w:r>
        <w:t xml:space="preserve">DOI</w:t>
      </w:r>
      <w:r>
        <w:t xml:space="preserve"> </w:t>
      </w:r>
      <w:hyperlink r:id="rId44">
        <w:r>
          <w:rPr>
            <w:rStyle w:val="Hyperlink"/>
          </w:rPr>
          <w:t xml:space="preserve">10.5281/zenodo.19821952</w:t>
        </w:r>
      </w:hyperlink>
      <w:r>
        <w:t xml:space="preserve"> </w:t>
      </w:r>
      <w:r>
        <w:t xml:space="preserve">(code under Apache-2.0;</w:t>
      </w:r>
      <w:r>
        <w:t xml:space="preserve"> </w:t>
      </w:r>
      <w:r>
        <w:t xml:space="preserve">data and model checkpoints under CC-BY-4.0). The package contains: the code (LIMO fine-tuning, denoiser</w:t>
      </w:r>
      <w:r>
        <w:t xml:space="preserve"> </w:t>
      </w:r>
      <w:r>
        <w:t xml:space="preserve">and score-model training, sampling, the four-stage validation funnel, and the figure-generation</w:t>
      </w:r>
      <w:r>
        <w:t xml:space="preserve"> </w:t>
      </w:r>
      <w:r>
        <w:t xml:space="preserve">pipeline); the trained checkpoints (the LIMO VAE, two conditional latent denoisers DGLD-H and DGLD-P,</w:t>
      </w:r>
      <w:r>
        <w:t xml:space="preserve"> </w:t>
      </w:r>
      <w:r>
        <w:t xml:space="preserve">two multi-head latent score models, the SELFIES alphabet, and run metadata); and the data (the</w:t>
      </w:r>
      <w:r>
        <w:t xml:space="preserve"> </w:t>
      </w:r>
      <w:r>
        <w:t xml:space="preserve">65,980-row labelled CHNO master, the augmented unlabelled corpus, and the 918 mined hard-negative</w:t>
      </w:r>
      <w:r>
        <w:t xml:space="preserve"> </w:t>
      </w:r>
      <w:r>
        <w:t xml:space="preserve">latents), redistributed in canonicalised form with row-level provenance. The code is additionally</w:t>
      </w:r>
      <w:r>
        <w:t xml:space="preserve"> </w:t>
      </w:r>
      <w:r>
        <w:t xml:space="preserve">mirrored at</w:t>
      </w:r>
      <w:r>
        <w:t xml:space="preserve"> </w:t>
      </w:r>
      <w:hyperlink r:id="rId45">
        <w:r>
          <w:rPr>
            <w:rStyle w:val="Hyperlink"/>
          </w:rPr>
          <w:t xml:space="preserve">github.com/ApartsinProjects/DGLD4Energetic</w:t>
        </w:r>
      </w:hyperlink>
      <w:r>
        <w:t xml:space="preserve">.</w:t>
      </w:r>
    </w:p>
    <w:p>
      <w:pPr>
        <w:pStyle w:val="MDPI21heading1"/>
        <w:ind w:left="2608"/>
      </w:pPr>
      <w:r>
        <w:t xml:space="preserve">Conflicts of Interest</w:t>
      </w:r>
    </w:p>
    <w:p>
      <w:pPr>
        <w:pStyle w:val="MDPI32textnoindent"/>
        <w:ind w:left="2608"/>
      </w:pPr>
      <w:r>
        <w:t xml:space="preserve">The authors declare no conflicts of interest.</w:t>
      </w:r>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hyperlink" Target="https://www.rdkit.org" TargetMode="External"/><Relationship Id="rId43" Type="http://schemas.openxmlformats.org/officeDocument/2006/relationships/hyperlink" Target="https://www.daylight.com/dayhtml/doc/theory/theory.smarts.html" TargetMode="External"/><Relationship Id="rId44" Type="http://schemas.openxmlformats.org/officeDocument/2006/relationships/hyperlink" Target="https://doi.org/10.5281/zenodo.19821952" TargetMode="External"/><Relationship Id="rId45" Type="http://schemas.openxmlformats.org/officeDocument/2006/relationships/hyperlink" Target="https://github.com/ApartsinProjects/DGLD4Energetic"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