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Supplementary Information</w:t>
      </w:r>
    </w:p>
    <w:p w14:paraId="12ABEACC" w14:textId="77777777" w:rsidR="009323F1" w:rsidRPr="00AF0422" w:rsidRDefault="009323F1" w:rsidP="009323F1">
      <w:pPr>
        <w:pStyle w:val="MDPI12title"/>
      </w:pPr>
      <w:r>
        <w:rPr>
          <w:b w:val="0"/>
        </w:rPr>
        <w:t>Supplementary Information for: 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Afeka Tel-Aviv College of Engineering, Tel-Aviv, Israel; 2 Holon Institute of Technology (HIT), Holon, Israel</w:t>
      </w:r>
    </w:p>
    <w:p w14:paraId="55E597B5" w14:textId="77777777" w:rsidR="009323F1" w:rsidRPr="00AF0422" w:rsidRDefault="009323F1" w:rsidP="009323F1">
      <w:pPr>
        <w:pStyle w:val="MDPI16affiliation"/>
      </w:pPr>
      <w:r>
        <w:rPr>
          <w:b w:val="0"/>
        </w:rPr>
        <w:t>* Correspondence: apersteiny@afeka.ac.il</w:t>
      </w:r>
    </w:p>
    <w:bookmarkEnd w:id="2"/>
    <w:bookmarkEnd w:id="3"/>
    <w:bookmarkEnd w:id="4"/>
    <w:p>
      <w:pPr>
        <w:pStyle w:val="MDPI21heading1"/>
        <w:ind w:left="2608"/>
      </w:pPr>
      <w:r>
        <w:t xml:space="preserve">Supplementary Notes</w:t>
      </w:r>
    </w:p>
    <w:p>
      <w:pPr>
        <w:pStyle w:val="MDPI22heading2"/>
        <w:ind w:left="2608"/>
      </w:pPr>
      <w:r>
        <w:t xml:space="preserve">A. Dataset details</w:t>
      </w:r>
    </w:p>
    <w:p>
      <w:pPr>
        <w:pStyle w:val="MDPI23heading3"/>
        <w:ind w:left="2608"/>
      </w:pPr>
      <w:r>
        <w:t xml:space="preserve">A.1 Data sources and provenance</w:t>
      </w:r>
    </w:p>
    <w:p>
      <w:pPr>
        <w:pStyle w:val="MDPI18keywords"/>
        <w:ind w:left="2608"/>
      </w:pPr>
      <w:r>
        <w:t xml:space="preserve">The labelled master, the unlabelled SMILES dump, and the motif-augmented expansion (Section 4) are assembled from the following public and quasi-public sources. Per-source row counts are post-canonicalisation, post-charge-filter, and post-token-length filter; they sum to more than the master because most molecules carry labels from several sources.</w:t>
      </w:r>
    </w:p>
    <w:p>
      <w:pPr>
        <w:pStyle w:val="MDPI41tablecaption"/>
        <w:ind w:left="2608"/>
      </w:pPr>
      <w:r>
        <w:rPr>
          <w:b/>
          <w:bCs/>
        </w:rPr>
        <w:t xml:space="preserve">Table S1.</w:t>
      </w:r>
      <w:r>
        <w:t xml:space="preserve"> </w:t>
      </w:r>
      <w: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43"/>
        <w:gridCol w:w="3343"/>
        <w:gridCol w:w="1185"/>
        <w:gridCol w:w="1157"/>
        <w:gridCol w:w="930"/>
      </w:tblGrid>
      <w:tr>
        <w:trPr>
          <w:tblHeader w:val="on"/>
        </w:trPr>
        <w:tc>
          <w:tcPr>
            <w:tcBorders>
              <w:bottom w:val="single" w:sz="8" w:space="0" w:color="auto"/>
            </w:tcBorders>
            <w:vAlign w:val="center"/>
          </w:tcPr>
          <w:p>
            <w:pPr>
              <w:pStyle w:val="Compact"/>
              <w:suppressAutoHyphens/>
              <w:jc w:val="center"/>
            </w:pPr>
            <w:r>
              <w:rPr>
                <w:b/>
                <w:sz w:val="18"/>
                <w:szCs w:val="18"/>
              </w:rPr>
              <w:t xml:space="preserve">Role</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Approx. rows contributed</w:t>
            </w:r>
          </w:p>
        </w:tc>
        <w:tc>
          <w:tcPr>
            <w:tcBorders>
              <w:bottom w:val="single" w:sz="8" w:space="0" w:color="auto"/>
            </w:tcBorders>
            <w:vAlign w:val="center"/>
          </w:tcPr>
          <w:p>
            <w:pPr>
              <w:pStyle w:val="Compact"/>
              <w:suppressAutoHyphens/>
              <w:jc w:val="center"/>
            </w:pPr>
            <w:r>
              <w:rPr>
                <w:b/>
                <w:sz w:val="18"/>
                <w:szCs w:val="18"/>
              </w:rPr>
              <w:t xml:space="preserve">Tier(s)</w:t>
            </w:r>
          </w:p>
        </w:tc>
        <w:tc>
          <w:tcPr>
            <w:tcBorders>
              <w:bottom w:val="single" w:sz="8" w:space="0" w:color="auto"/>
            </w:tcBorders>
            <w:vAlign w:val="center"/>
          </w:tcPr>
          <w:p>
            <w:pPr>
              <w:pStyle w:val="Compact"/>
              <w:suppressAutoHyphens/>
              <w:jc w:val="center"/>
            </w:pPr>
            <w:r>
              <w:rPr>
                <w:b/>
                <w:sz w:val="18"/>
                <w:szCs w:val="18"/>
              </w:rPr>
              <w:t xml:space="preserve">Citation</w:t>
            </w:r>
          </w:p>
        </w:tc>
      </w:tr>
      <w:tr>
        <w:tc>
          <w:tcPr>
            <w:vAlign w:val="center"/>
          </w:tcPr>
          <w:p>
            <w:pPr>
              <w:pStyle w:val="Compact"/>
              <w:suppressAutoHyphens/>
              <w:jc w:val="center"/>
            </w:pPr>
            <w:r>
              <w:rPr>
                <w:sz w:val="18"/>
                <w:szCs w:val="18"/>
              </w:rPr>
              <w:t xml:space="preserve">Labelled master (energetics)</w:t>
            </w:r>
          </w:p>
        </w:tc>
        <w:tc>
          <w:tcPr>
            <w:vAlign w:val="center"/>
          </w:tcPr>
          <w:p>
            <w:pPr>
              <w:pStyle w:val="Compact"/>
              <w:suppressAutoHyphens/>
              <w:jc w:val="center"/>
            </w:pPr>
            <w:r>
              <w:rPr>
                <w:sz w:val="18"/>
                <w:szCs w:val="18"/>
              </w:rPr>
              <w:t xml:space="preserve">Experimental crystallographic densities (Davis et al. 2024, cm4c01978 SI) plus measured</w:t>
            </w:r>
            <w:r>
              <w:rPr>
                <w:sz w:val="18"/>
                <w:szCs w:val="18"/>
              </w:rPr>
              <w:t xml:space="preserve"> </w:t>
            </w:r>
            <m:oMath>
              <m:r>
                <w:rPr>
                  <w:sz w:val="18"/>
                  <w:szCs w:val="18"/>
                </w:rPr>
                <m:t>ρ</m:t>
              </m:r>
            </m:oMath>
            <w:r>
              <w:rPr>
                <w:sz w:val="18"/>
                <w:szCs w:val="18"/>
              </w:rPr>
              <w:t xml:space="preserve">,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hand-compiled from Klapötke (2019), Cooper (1996), and the LLNL Explosives Handbook (Dobratz &amp; Crawford 1985)</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hyperlink w:anchor="ref-emdb">
              <w:r>
                <w:rPr>
                  <w:rStyle w:val="Hyperlink"/>
                  <w:sz w:val="18"/>
                  <w:szCs w:val="18"/>
                </w:rPr>
                <w:t xml:space="preserve">[1]</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Thermochemical detonation-property dataset (curated CHNO + CHNOClF subset;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 </w:t>
            </w:r>
            <w:r>
              <w:rPr>
                <w:sz w:val="18"/>
                <w:szCs w:val="18"/>
              </w:rPr>
              <w:t xml:space="preserve">on an EXPLO5 train/test split)</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hyperlink w:anchor="ref-npjcompmat2025">
              <w:r>
                <w:rPr>
                  <w:rStyle w:val="Hyperlink"/>
                  <w:sz w:val="18"/>
                  <w:szCs w:val="18"/>
                </w:rPr>
                <w:t xml:space="preserve">[3]</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Kamlet–Jacobs derived rows: density and HOF from literature compilations propagated through the K-J equation to give surrogate</w:t>
            </w:r>
            <w:r>
              <w:rPr>
                <w:sz w:val="18"/>
                <w:szCs w:val="18"/>
              </w:rPr>
              <w:t xml:space="preserve"> </w:t>
            </w:r>
            <m:oMath>
              <m:r>
                <w:rPr>
                  <w:sz w:val="18"/>
                  <w:szCs w:val="18"/>
                </w:rPr>
                <m:t>D</m:t>
              </m:r>
              <m:r>
                <w:rPr>
                  <w:sz w:val="18"/>
                  <w:szCs w:val="18"/>
                </w:rPr>
                <m:rPr>
                  <m:sty m:val="p"/>
                </m:rPr>
                <m:t>,</m:t>
              </m:r>
              <m:r>
                <w:rPr>
                  <w:sz w:val="18"/>
                  <w:szCs w:val="18"/>
                </w:rPr>
                <m:t>P</m:t>
              </m:r>
            </m:oMath>
            <w:r>
              <w:rPr>
                <w:sz w:val="18"/>
                <w:szCs w:val="18"/>
              </w:rPr>
              <w:t xml:space="preserve"> </w:t>
            </w:r>
            <w:r>
              <w:rPr>
                <w:sz w:val="18"/>
                <w:szCs w:val="18"/>
              </w:rPr>
              <w:t xml:space="preserve">(densities and HOF from Davis et al. 2024, cm4c01978 SI)</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hyperlink w:anchor="ref-kamlet1968detonation">
              <w:r>
                <w:rPr>
                  <w:rStyle w:val="Hyperlink"/>
                  <w:sz w:val="18"/>
                  <w:szCs w:val="18"/>
                </w:rPr>
                <w:t xml:space="preserve">[4]</w:t>
              </w:r>
            </w:hyperlink>
            <w:r>
              <w:rPr>
                <w:sz w:val="18"/>
                <w:szCs w:val="18"/>
              </w:rPr>
              <w:t xml:space="preserve">,</w:t>
            </w:r>
            <w:r>
              <w:rPr>
                <w:sz w:val="18"/>
                <w:szCs w:val="18"/>
              </w:rPr>
              <w:t xml:space="preserve"> </w:t>
            </w:r>
            <w:hyperlink w:anchor="ref-mlcrystdens-cm-2024">
              <w:r>
                <w:rPr>
                  <w:rStyle w:val="Hyperlink"/>
                  <w:sz w:val="18"/>
                  <w:szCs w:val="18"/>
                </w:rPr>
                <w:t xml:space="preserve">[2]</w:t>
              </w:r>
            </w:hyperlink>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ML surrogate labels: in-house Uni-Mol smoke ensemble (trained on the union of A+B+C, eight outputs, 5-fold CV</w:t>
            </w:r>
            <w:r>
              <w:rPr>
                <w:sz w:val="18"/>
                <w:szCs w:val="18"/>
              </w:rPr>
              <w:t xml:space="preserve"> </w:t>
            </w:r>
            <m:oMath>
              <m:sSup>
                <m:e>
                  <m:r>
                    <w:rPr>
                      <w:sz w:val="18"/>
                      <w:szCs w:val="18"/>
                    </w:rPr>
                    <m:t>R</m:t>
                  </m:r>
                </m:e>
                <m:sup>
                  <m:r>
                    <w:rPr>
                      <w:sz w:val="18"/>
                      <w:szCs w:val="18"/>
                    </w:rPr>
                    <m:t>2</m:t>
                  </m:r>
                </m:sup>
              </m:sSup>
              <m:r>
                <w:rPr>
                  <w:sz w:val="18"/>
                  <w:szCs w:val="18"/>
                </w:rPr>
                <m:rPr>
                  <m:sty m:val="p"/>
                </m:rPr>
                <m:t>=</m:t>
              </m:r>
              <m:r>
                <w:rPr>
                  <w:sz w:val="18"/>
                  <w:szCs w:val="18"/>
                </w:rPr>
                <m:t>0.84</m:t>
              </m:r>
              <m:r>
                <w:rPr>
                  <w:sz w:val="18"/>
                  <w:szCs w:val="18"/>
                </w:rPr>
                <m:rPr>
                  <m:nor/>
                  <m:sty m:val="p"/>
                </m:rPr>
                <m:t>–</m:t>
              </m:r>
              <m:r>
                <w:rPr>
                  <w:sz w:val="18"/>
                  <w:szCs w:val="18"/>
                </w:rPr>
                <m:t>0.92</m:t>
              </m:r>
            </m:oMath>
            <w:r>
              <w:rPr>
                <w:sz w:val="18"/>
                <w:szCs w:val="18"/>
              </w:rPr>
              <w:t xml:space="preserve">) plus generative-model predictions (MDGNN, de-novo RL/TL sampling, q-RASPR), used to label rows with no higher-tier source</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this work,</w:t>
            </w:r>
            <w:r>
              <w:rPr>
                <w:sz w:val="18"/>
                <w:szCs w:val="18"/>
              </w:rPr>
              <w:t xml:space="preserve"> </w:t>
            </w:r>
            <w:hyperlink w:anchor="ref-casey2020prediction">
              <w:r>
                <w:rPr>
                  <w:rStyle w:val="Hyperlink"/>
                  <w:sz w:val="18"/>
                  <w:szCs w:val="18"/>
                </w:rPr>
                <w:t xml:space="preserve">[5]</w:t>
              </w:r>
            </w:hyperlink>
          </w:p>
        </w:tc>
      </w:tr>
      <w:tr>
        <w:tc>
          <w:tcPr>
            <w:vAlign w:val="center"/>
          </w:tcPr>
          <w:p>
            <w:pPr>
              <w:pStyle w:val="Compact"/>
              <w:suppressAutoHyphens/>
              <w:jc w:val="center"/>
            </w:pPr>
            <w:r>
              <w:rPr>
                <w:sz w:val="18"/>
                <w:szCs w:val="18"/>
              </w:rPr>
              <w:t xml:space="preserve">Negatives for viability classifier</w:t>
            </w:r>
          </w:p>
        </w:tc>
        <w:tc>
          <w:tcPr>
            <w:vAlign w:val="center"/>
          </w:tcPr>
          <w:p>
            <w:pPr>
              <w:pStyle w:val="Compact"/>
              <w:suppressAutoHyphens/>
              <w:jc w:val="center"/>
            </w:pPr>
            <w:r>
              <w:rPr>
                <w:sz w:val="18"/>
                <w:szCs w:val="18"/>
              </w:rPr>
              <w:t xml:space="preserve">ZINC-15 random subsample (drug-like, neutral, MW &lt; 500), used as inert chemistry against which the RandomForest viability classifier is trained</w:t>
            </w:r>
          </w:p>
        </w:tc>
        <w:tc>
          <w:tcPr>
            <w:vAlign w:val="center"/>
          </w:tcPr>
          <w:p>
            <w:pPr>
              <w:pStyle w:val="Compact"/>
              <w:suppressAutoHyphens/>
              <w:jc w:val="center"/>
            </w:pPr>
            <w:r>
              <w:rPr>
                <w:sz w:val="18"/>
                <w:szCs w:val="18"/>
              </w:rPr>
              <w:t xml:space="preserve">80 000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sterling2015zinc">
              <w:r>
                <w:rPr>
                  <w:rStyle w:val="Hyperlink"/>
                  <w:sz w:val="18"/>
                  <w:szCs w:val="18"/>
                </w:rPr>
                <w:t xml:space="preserve">[6]</w:t>
              </w:r>
            </w:hyperlink>
          </w:p>
        </w:tc>
      </w:tr>
      <w:tr>
        <w:tc>
          <w:tcPr>
            <w:vAlign w:val="center"/>
          </w:tcPr>
          <w:p>
            <w:pPr>
              <w:pStyle w:val="Compact"/>
              <w:suppressAutoHyphens/>
              <w:jc w:val="center"/>
            </w:pPr>
            <w:r>
              <w:rPr>
                <w:sz w:val="18"/>
                <w:szCs w:val="18"/>
              </w:rPr>
              <w:t xml:space="preserve">Hard negatives</w:t>
            </w:r>
          </w:p>
        </w:tc>
        <w:tc>
          <w:tcPr>
            <w:vAlign w:val="center"/>
          </w:tcPr>
          <w:p>
            <w:pPr>
              <w:pStyle w:val="Compact"/>
              <w:suppressAutoHyphens/>
              <w:jc w:val="center"/>
            </w:pPr>
            <w:r>
              <w:rPr>
                <w:sz w:val="18"/>
                <w:szCs w:val="18"/>
              </w:rPr>
              <w:t xml:space="preserve">Cheats mined from earlier generation pools (gem-tetranitro on small rings, polyazene chains, trinitromethane, gem-dinitrocyclopropane, etc.), encoded through LIMO and used as viab=0 latents in score-model training</w:t>
            </w:r>
          </w:p>
        </w:tc>
        <w:tc>
          <w:tcPr>
            <w:vAlign w:val="center"/>
          </w:tcPr>
          <w:p>
            <w:pPr>
              <w:pStyle w:val="Compact"/>
              <w:suppressAutoHyphens/>
              <w:jc w:val="center"/>
            </w:pPr>
            <w:r>
              <w:rPr>
                <w:sz w:val="18"/>
                <w:szCs w:val="18"/>
              </w:rPr>
              <w:t xml:space="preserve">918</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this work, Section 4.11</w:t>
            </w:r>
          </w:p>
        </w:tc>
      </w:tr>
      <w:tr>
        <w:tc>
          <w:tcPr>
            <w:vAlign w:val="center"/>
          </w:tcPr>
          <w:p>
            <w:pPr>
              <w:pStyle w:val="Compact"/>
              <w:suppressAutoHyphens/>
              <w:jc w:val="center"/>
            </w:pPr>
            <w:r>
              <w:rPr>
                <w:sz w:val="18"/>
                <w:szCs w:val="18"/>
              </w:rPr>
              <w:t xml:space="preserve">Hazard SMARTS catalog</w:t>
            </w:r>
          </w:p>
        </w:tc>
        <w:tc>
          <w:tcPr>
            <w:vAlign w:val="center"/>
          </w:tcPr>
          <w:p>
            <w:pPr>
              <w:pStyle w:val="Compact"/>
              <w:suppressAutoHyphens/>
              <w:jc w:val="center"/>
            </w:pPr>
            <w:r>
              <w:rPr>
                <w:sz w:val="18"/>
                <w:szCs w:val="18"/>
              </w:rPr>
              <w:t xml:space="preserve">NIST CAMEO Chemicals reactivity database</w:t>
            </w:r>
            <w:r>
              <w:rPr>
                <w:sz w:val="18"/>
                <w:szCs w:val="18"/>
              </w:rPr>
              <w:t xml:space="preserve"> </w:t>
            </w:r>
            <w:hyperlink w:anchor="ref-cameo">
              <w:r>
                <w:rPr>
                  <w:rStyle w:val="Hyperlink"/>
                  <w:sz w:val="18"/>
                  <w:szCs w:val="18"/>
                </w:rPr>
                <w:t xml:space="preserve">[7]</w:t>
              </w:r>
            </w:hyperlink>
            <w:r>
              <w:rPr>
                <w:sz w:val="18"/>
                <w:szCs w:val="18"/>
              </w:rPr>
              <w:t xml:space="preserve"> </w:t>
            </w:r>
            <w:r>
              <w:rPr>
                <w:sz w:val="18"/>
                <w:szCs w:val="18"/>
              </w:rPr>
              <w:t xml:space="preserve">+ ChemAxon “dangerous reactivity” SMARTS, distilled into the Bruns–Watson demerit catalog used by the SMARTS gate</w:t>
            </w:r>
          </w:p>
        </w:tc>
        <w:tc>
          <w:tcPr>
            <w:vAlign w:val="center"/>
          </w:tcPr>
          <w:p>
            <w:pPr>
              <w:pStyle w:val="Compact"/>
              <w:suppressAutoHyphens/>
              <w:jc w:val="center"/>
            </w:pPr>
            <w:r>
              <w:rPr>
                <w:sz w:val="18"/>
                <w:szCs w:val="18"/>
              </w:rPr>
              <w:t xml:space="preserve">n/a (rules)</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cameo">
              <w:r>
                <w:rPr>
                  <w:rStyle w:val="Hyperlink"/>
                  <w:sz w:val="18"/>
                  <w:szCs w:val="18"/>
                </w:rPr>
                <w:t xml:space="preserve">[7]</w:t>
              </w:r>
            </w:hyperlink>
            <w:r>
              <w:rPr>
                <w:sz w:val="18"/>
                <w:szCs w:val="18"/>
              </w:rPr>
              <w:t xml:space="preserve">,</w:t>
            </w:r>
            <w:r>
              <w:rPr>
                <w:sz w:val="18"/>
                <w:szCs w:val="18"/>
              </w:rPr>
              <w:t xml:space="preserve"> </w:t>
            </w:r>
            <w:hyperlink w:anchor="ref-bruns2020watson">
              <w:r>
                <w:rPr>
                  <w:rStyle w:val="Hyperlink"/>
                  <w:sz w:val="18"/>
                  <w:szCs w:val="18"/>
                </w:rPr>
                <w:t xml:space="preserve">[8]</w:t>
              </w:r>
            </w:hyperlink>
          </w:p>
        </w:tc>
      </w:tr>
      <w:tr>
        <w:tc>
          <w:tcPr>
            <w:vAlign w:val="center"/>
          </w:tcPr>
          <w:p>
            <w:pPr>
              <w:pStyle w:val="Compact"/>
              <w:suppressAutoHyphens/>
              <w:jc w:val="center"/>
            </w:pPr>
            <w:r>
              <w:rPr>
                <w:sz w:val="18"/>
                <w:szCs w:val="18"/>
              </w:rPr>
              <w:t xml:space="preserve">Unlabelled domain corpus</w:t>
            </w:r>
          </w:p>
        </w:tc>
        <w:tc>
          <w:tcPr>
            <w:vAlign w:val="center"/>
          </w:tcPr>
          <w:p>
            <w:pPr>
              <w:pStyle w:val="Compact"/>
              <w:suppressAutoHyphens/>
              <w:jc w:val="center"/>
            </w:pPr>
            <w:r>
              <w:rPr>
                <w:sz w:val="18"/>
                <w:szCs w:val="18"/>
              </w:rPr>
              <w:t xml:space="preserve">Augmented CHNO / CHNOClF SMILES dump assembled from public energetic-chemistry compilations (Klapötke reviews, patent-extracted SMILES, energetic-materials review papers); used only for the unconditional prior</w:t>
            </w:r>
          </w:p>
        </w:tc>
        <w:tc>
          <w:tcPr>
            <w:vAlign w:val="center"/>
          </w:tcPr>
          <w:p>
            <w:pPr>
              <w:pStyle w:val="Compact"/>
              <w:suppressAutoHyphens/>
              <w:jc w:val="center"/>
            </w:pPr>
            <w:r>
              <w:rPr>
                <w:sz w:val="18"/>
                <w:szCs w:val="18"/>
              </w:rPr>
              <w:t xml:space="preserve">~380 000</w:t>
            </w:r>
          </w:p>
        </w:tc>
        <w:tc>
          <w:tcPr>
            <w:vAlign w:val="center"/>
          </w:tcPr>
          <w:p>
            <w:pPr>
              <w:pStyle w:val="Compact"/>
              <w:suppressAutoHyphens/>
              <w:jc w:val="center"/>
            </w:pPr>
            <w:r>
              <w:rPr>
                <w:sz w:val="18"/>
                <w:szCs w:val="18"/>
              </w:rPr>
              <w:t xml:space="preserve">none</w:t>
            </w:r>
          </w:p>
        </w:tc>
        <w:tc>
          <w:tcPr>
            <w:vAlign w:val="center"/>
          </w:tcPr>
          <w:p>
            <w:pPr>
              <w:pStyle w:val="Compact"/>
              <w:suppressAutoHyphens/>
              <w:jc w:val="center"/>
            </w:pPr>
            <w:hyperlink w:anchor="ref-klapotke2017nitrogen">
              <w:r>
                <w:rPr>
                  <w:rStyle w:val="Hyperlink"/>
                  <w:sz w:val="18"/>
                  <w:szCs w:val="18"/>
                </w:rPr>
                <w:t xml:space="preserve">[9]</w:t>
              </w:r>
            </w:hyperlink>
          </w:p>
        </w:tc>
      </w:tr>
      <w:tr>
        <w:tc>
          <w:tcPr>
            <w:vAlign w:val="center"/>
          </w:tcPr>
          <w:p>
            <w:pPr>
              <w:pStyle w:val="Compact"/>
              <w:suppressAutoHyphens/>
              <w:jc w:val="center"/>
            </w:pPr>
            <w:r>
              <w:rPr>
                <w:sz w:val="18"/>
                <w:szCs w:val="18"/>
              </w:rPr>
              <w:t xml:space="preserve">Motif-augmented expansion</w:t>
            </w:r>
          </w:p>
        </w:tc>
        <w:tc>
          <w:tcPr>
            <w:vAlign w:val="center"/>
          </w:tcPr>
          <w:p>
            <w:pPr>
              <w:pStyle w:val="Compact"/>
              <w:suppressAutoHyphens/>
              <w:jc w:val="center"/>
            </w:pPr>
            <w:r>
              <w:rPr>
                <w:sz w:val="18"/>
                <w:szCs w:val="18"/>
              </w:rPr>
              <w:t xml:space="preserve">Programmatic substitution of nitro, nitramine, azide, cyano, tetrazole, oxadiazole groups onto the labelled master scaffolds, then re-canonicalised and de-duplicated</w:t>
            </w:r>
          </w:p>
        </w:tc>
        <w:tc>
          <w:tcPr>
            <w:vAlign w:val="center"/>
          </w:tcPr>
          <w:p>
            <w:pPr>
              <w:pStyle w:val="Compact"/>
              <w:suppressAutoHyphens/>
              <w:jc w:val="center"/>
            </w:pPr>
            <w:r>
              <w:rPr>
                <w:sz w:val="18"/>
                <w:szCs w:val="18"/>
              </w:rPr>
              <w:t xml:space="preserve">~1.08 M</w:t>
            </w:r>
          </w:p>
        </w:tc>
        <w:tc>
          <w:tcPr>
            <w:vAlign w:val="center"/>
          </w:tcPr>
          <w:p>
            <w:pPr>
              <w:pStyle w:val="Compact"/>
              <w:suppressAutoHyphens/>
              <w:jc w:val="center"/>
            </w:pPr>
            <w:r>
              <w:rPr>
                <w:sz w:val="18"/>
                <w:szCs w:val="18"/>
              </w:rPr>
              <w:t xml:space="preserve">none (only used in unlabelled prior)</w:t>
            </w:r>
          </w:p>
        </w:tc>
        <w:tc>
          <w:tcPr>
            <w:vAlign w:val="center"/>
          </w:tcPr>
          <w:p>
            <w:pPr>
              <w:pStyle w:val="Compact"/>
              <w:suppressAutoHyphens/>
              <w:jc w:val="center"/>
            </w:pPr>
            <w:r>
              <w:rPr>
                <w:sz w:val="18"/>
                <w:szCs w:val="18"/>
              </w:rPr>
              <w:t xml:space="preserve">this work</w:t>
            </w:r>
          </w:p>
        </w:tc>
      </w:tr>
      <w:tr>
        <w:tc>
          <w:tcPr>
            <w:vAlign w:val="center"/>
          </w:tcPr>
          <w:p>
            <w:pPr>
              <w:pStyle w:val="Compact"/>
              <w:suppressAutoHyphens/>
              <w:jc w:val="center"/>
            </w:pPr>
            <w:r>
              <w:rPr>
                <w:sz w:val="18"/>
                <w:szCs w:val="18"/>
              </w:rPr>
              <w:t xml:space="preserve">External novelty database</w:t>
            </w:r>
          </w:p>
        </w:tc>
        <w:tc>
          <w:tcPr>
            <w:vAlign w:val="center"/>
          </w:tcPr>
          <w:p>
            <w:pPr>
              <w:pStyle w:val="Compact"/>
              <w:suppressAutoHyphens/>
              <w:jc w:val="center"/>
            </w:pPr>
            <w:r>
              <w:rPr>
                <w:sz w:val="18"/>
                <w:szCs w:val="18"/>
              </w:rPr>
              <w:t xml:space="preserve">PubChem 2023 (PUG REST query on canonical SMILES) used to assess novelty of generated leads, not for training</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kim2023pubchem">
              <w:r>
                <w:rPr>
                  <w:rStyle w:val="Hyperlink"/>
                  <w:sz w:val="18"/>
                  <w:szCs w:val="18"/>
                </w:rPr>
                <w:t xml:space="preserve">[10]</w:t>
              </w:r>
            </w:hyperlink>
          </w:p>
        </w:tc>
      </w:tr>
      <w:tr>
        <w:tc>
          <w:tcPr>
            <w:vAlign w:val="center"/>
          </w:tcPr>
          <w:p>
            <w:pPr>
              <w:pStyle w:val="Compact"/>
              <w:suppressAutoHyphens/>
              <w:jc w:val="center"/>
            </w:pPr>
            <w:r>
              <w:rPr>
                <w:sz w:val="18"/>
                <w:szCs w:val="18"/>
              </w:rPr>
              <w:t xml:space="preserve">Stability triage tool</w:t>
            </w:r>
          </w:p>
        </w:tc>
        <w:tc>
          <w:tcPr>
            <w:vAlign w:val="center"/>
          </w:tcPr>
          <w:p>
            <w:pPr>
              <w:pStyle w:val="Compact"/>
              <w:suppressAutoHyphens/>
              <w:jc w:val="center"/>
            </w:pPr>
            <w:r>
              <w:rPr>
                <w:sz w:val="18"/>
                <w:szCs w:val="18"/>
              </w:rPr>
              <w:t xml:space="preserve">xTB 6.6.1 (GFN2-xTB) used at sample-time triage on top leads (</w:t>
            </w:r>
            <m:oMath>
              <m:r>
                <w:rPr>
                  <w:sz w:val="18"/>
                  <w:szCs w:val="18"/>
                </w:rPr>
                <m:rPr>
                  <m:sty m:val="p"/>
                </m:rPr>
                <m:t>≤</m:t>
              </m:r>
            </m:oMath>
            <w:r>
              <w:rPr>
                <w:sz w:val="18"/>
                <w:szCs w:val="18"/>
              </w:rPr>
              <w:t xml:space="preserve">100 candidates), not in the training set</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hyperlink w:anchor="ref-bannwarth2019gfn2">
              <w:r>
                <w:rPr>
                  <w:rStyle w:val="Hyperlink"/>
                  <w:sz w:val="18"/>
                  <w:szCs w:val="18"/>
                </w:rPr>
                <w:t xml:space="preserve">[11]</w:t>
              </w:r>
            </w:hyperlink>
          </w:p>
        </w:tc>
      </w:tr>
    </w:tbl>
    <w:p>
      <w:pPr>
        <w:pStyle w:val="MDPI18keywords"/>
        <w:ind w:left="2608"/>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MDPI18keywords"/>
        <w:ind w:left="2608"/>
      </w:pPr>
      <w:r>
        <w:rPr>
          <w:b/>
          <w:bCs/>
        </w:rPr>
        <w:t xml:space="preserve">Row-count overlap and deduplication.</w:t>
      </w:r>
      <w:r>
        <w:t xml:space="preserve"> </w:t>
      </w:r>
      <w:r>
        <w:t xml:space="preserve">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Section 2.4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p>
      <w:pPr>
        <w:pStyle w:val="MDPI23heading3"/>
        <w:ind w:left="2608"/>
      </w:pPr>
      <w:r>
        <w:t xml:space="preserve">A.2 Data preprocessing details</w:t>
      </w:r>
    </w:p>
    <w:p>
      <w:pPr>
        <w:pStyle w:val="MDPI18keywords"/>
        <w:ind w:left="2608"/>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 mol</w:t>
      </w:r>
      <w:r>
        <w:rPr>
          <w:vertAlign w:val="superscript"/>
        </w:rPr>
        <w:t xml:space="preserve">−1</w:t>
      </w:r>
      <w:r>
        <w:t xml:space="preserve">; densities in g cm</w:t>
      </w:r>
      <w:r>
        <w:rPr>
          <w:vertAlign w:val="superscript"/>
        </w:rPr>
        <w:t xml:space="preserve">−3</w:t>
      </w:r>
      <w:r>
        <w:t xml:space="preserve">; velocities in km s</w:t>
      </w:r>
      <w:r>
        <w:rPr>
          <w:vertAlign w:val="superscript"/>
        </w:rPr>
        <w:t xml:space="preserve">−1</w:t>
      </w:r>
      <w:r>
        <w:t xml:space="preserve">;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xmlns:a="http://schemas.openxmlformats.org/drawingml/2006/main" xmlns:pic="http://schemas.openxmlformats.org/drawingml/2006/picture">
      <w:pPr>
        <w:pStyle w:val="MDPI52figure"/>
        <w:ind w:left="2608"/>
        <w:jc w:val="center"/>
      </w:pPr>
      <w:r>
        <w:drawing>
          <wp:inline>
            <wp:extent cx="4989830" cy="1612338"/>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8"/>
                    <a:stretch>
                      <a:fillRect/>
                    </a:stretch>
                  </pic:blipFill>
                  <pic:spPr bwMode="auto">
                    <a:xfrm>
                      <a:off x="0" y="0"/>
                      <a:ext cx="4989830" cy="1612338"/>
                    </a:xfrm>
                    <a:prstGeom prst="rect">
                      <a:avLst/>
                    </a:prstGeom>
                    <a:noFill/>
                    <a:ln w="9525">
                      <a:noFill/>
                      <a:headEnd/>
                      <a:tailEnd/>
                    </a:ln>
                  </pic:spPr>
                </pic:pic>
              </a:graphicData>
            </a:graphic>
          </wp:inline>
        </w:drawing>
      </w:r>
    </w:p>
    <w:p>
      <w:pPr>
        <w:pStyle w:val="MDPI51figurecaption"/>
        <w:ind w:left="2608"/>
      </w:pPr>
      <w:r>
        <w:rPr>
          <w:b/>
          <w:bCs/>
        </w:rPr>
        <w:t xml:space="preserve">Figure S1.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p>
      <w:pPr>
        <w:pStyle w:val="MDPI22heading2"/>
        <w:ind w:left="2608"/>
      </w:pPr>
      <w:r>
        <w:t xml:space="preserve">B. Model architecture and hyperparameter values</w:t>
      </w:r>
    </w:p>
    <w:p>
      <w:pPr>
        <w:pStyle w:val="MDPI18keywords"/>
        <w:ind w:left="2608"/>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14)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16) is a 44.6 M-parameter FiLM-ResNet that reverses a 1000-step cosine DDPM in latent space; the production sampler runs two such denoisers in parallel (DGLD-H + DGLD-P, Section 4.8). (3) The</w:t>
      </w:r>
      <w:r>
        <w:t xml:space="preserve"> </w:t>
      </w:r>
      <w:r>
        <w:rPr>
          <w:b/>
          <w:bCs/>
        </w:rPr>
        <w:t xml:space="preserve">multi-task score model</w:t>
      </w:r>
      <w:r>
        <w:t xml:space="preserve"> </w:t>
      </w:r>
      <w:r>
        <w:t xml:space="preserve">(Figs 18 and 20) is a 4-block FiLM-MLP with a shared 1024-d trunk over (z, σ) with three active steering heads (Viability, Sensitivity, Hazard) and three auxiliary multi-task heads (Performance, SA, SC; Supplementary Section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S2, S3, and S4 (LIMO VAE; denoiser + score model; label sources + reranker, respectively).</w:t>
      </w:r>
    </w:p>
    <w:p>
      <w:pPr>
        <w:pStyle w:val="MDPI18keywords"/>
        <w:ind w:left="2608"/>
      </w:pPr>
      <w:r>
        <w:rPr>
          <w:b/>
          <w:bCs/>
        </w:rPr>
        <w:t xml:space="preserve">External label sources are training-time only.</w:t>
      </w:r>
      <w:r>
        <w:t xml:space="preserve"> </w:t>
      </w:r>
      <w:r>
        <w:t xml:space="preserve">The Random-Forest viability classifier and the 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Section 4.7 / Section 4.10) and the multi-task score model; the Random Forest and smoke ensemble do not appear in the sampling loop. The smoke ensemble is additionally invoked once per surviving candidate at re-ranking (Stage 1) to produce the (8-output) post-rerank property scores.</w:t>
      </w:r>
    </w:p>
    <w:p>
      <w:pPr>
        <w:pStyle w:val="MDPI41tablecaption"/>
        <w:ind w:left="2608"/>
      </w:pPr>
      <w:r>
        <w:rPr>
          <w:b/>
          <w:bCs/>
        </w:rPr>
        <w:t xml:space="preserve">Table S2.</w:t>
      </w:r>
      <w:r>
        <w:t xml:space="preserve"> </w:t>
      </w:r>
      <w:r>
        <w:t xml:space="preserve">LIMO SELFIES-VAE hyperparameters. Source of truth for all LIMO-related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89"/>
        <w:gridCol w:w="1853"/>
        <w:gridCol w:w="4316"/>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LIMO SELFIES-VAE (Fig 14)</w:t>
            </w:r>
          </w:p>
        </w:tc>
        <w:tc>
          <w:tcPr>
            <w:vAlign w:val="center"/>
          </w:tcPr>
          <w:p>
            <w:pPr>
              <w:pStyle w:val="Compact"/>
              <w:suppressAutoHyphens/>
              <w:jc w:val="center"/>
            </w:pPr>
            <w:r>
              <w:rPr>
                <w:sz w:val="18"/>
                <w:szCs w:val="18"/>
              </w:rPr>
              <w:t xml:space="preserve">Latent dim</w:t>
            </w:r>
          </w:p>
        </w:tc>
        <w:tc>
          <w:tcPr>
            <w:vAlign w:val="center"/>
          </w:tcPr>
          <w:p>
            <w:pPr>
              <w:pStyle w:val="Compact"/>
              <w:suppressAutoHyphens/>
              <w:jc w:val="center"/>
            </w:pPr>
            <w:r>
              <w:rPr>
                <w:sz w:val="18"/>
                <w:szCs w:val="18"/>
              </w:rPr>
              <w:t xml:space="preserve">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SELFIES max length</w:t>
            </w:r>
          </w:p>
        </w:tc>
        <w:tc>
          <w:tcPr>
            <w:vAlign w:val="center"/>
          </w:tcPr>
          <w:p>
            <w:pPr>
              <w:pStyle w:val="Compact"/>
              <w:suppressAutoHyphens/>
              <w:jc w:val="center"/>
            </w:pPr>
            <w:r>
              <w:rPr>
                <w:sz w:val="18"/>
                <w:szCs w:val="18"/>
              </w:rPr>
              <w:t xml:space="preserve">72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Vocabulary size</w:t>
            </w:r>
          </w:p>
        </w:tc>
        <w:tc>
          <w:tcPr>
            <w:vAlign w:val="center"/>
          </w:tcPr>
          <w:p>
            <w:pPr>
              <w:pStyle w:val="Compact"/>
              <w:suppressAutoHyphens/>
              <w:jc w:val="center"/>
            </w:pPr>
            <w:r>
              <w:rPr>
                <w:sz w:val="18"/>
                <w:szCs w:val="18"/>
              </w:rPr>
              <w:t xml:space="preserve">108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Embedding dim</w:t>
            </w:r>
          </w:p>
        </w:tc>
        <w:tc>
          <w:tcPr>
            <w:vAlign w:val="center"/>
          </w:tcPr>
          <w:p>
            <w:pPr>
              <w:pStyle w:val="Compact"/>
              <w:suppressAutoHyphens/>
              <w:jc w:val="center"/>
            </w:pPr>
            <w:r>
              <w:rPr>
                <w:sz w:val="18"/>
                <w:szCs w:val="18"/>
              </w:rPr>
              <w:t xml:space="preserve">64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Encoder layers</w:t>
            </w:r>
          </w:p>
        </w:tc>
        <w:tc>
          <w:tcPr>
            <w:vAlign w:val="center"/>
          </w:tcPr>
          <w:p>
            <w:pPr>
              <w:pStyle w:val="Compact"/>
              <w:suppressAutoHyphens/>
              <w:jc w:val="center"/>
            </w:pPr>
            <w:r>
              <w:rPr>
                <w:sz w:val="18"/>
                <w:szCs w:val="18"/>
              </w:rPr>
              <w:t xml:space="preserve">Linear(72·64=4608→2000)–ReLU–Linear(2000→1000)–BN1d–ReLU–Linear(1000→1000)–BN1d–ReLU–Linear(1000→2·1024)</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Decoder layers</w:t>
            </w:r>
          </w:p>
        </w:tc>
        <w:tc>
          <w:tcPr>
            <w:vAlign w:val="center"/>
          </w:tcPr>
          <w:p>
            <w:pPr>
              <w:pStyle w:val="Compact"/>
              <w:suppressAutoHyphens/>
              <w:jc w:val="center"/>
            </w:pPr>
            <w:r>
              <w:rPr>
                <w:sz w:val="18"/>
                <w:szCs w:val="18"/>
              </w:rPr>
              <w:t xml:space="preserve">Linear(1024→1000)–BN1d–ReLU–Linear(1000→1000)–BN1d–ReLU–Linear(1000→2000)–ReLU–Linear(2000→72·108=7776)</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ReLU (encoder &amp; decoder hidden); log-softmax over vocab on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NLL reconstruction + β·KL (standard VAE ELBO; free-bits disabled)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KL weight β</w:t>
            </w:r>
          </w:p>
        </w:tc>
        <w:tc>
          <w:tcPr>
            <w:vAlign w:val="center"/>
          </w:tcPr>
          <w:p>
            <w:pPr>
              <w:pStyle w:val="Compact"/>
              <w:suppressAutoHyphens/>
              <w:jc w:val="center"/>
            </w:pPr>
            <w:r>
              <w:rPr>
                <w:sz w:val="18"/>
                <w:szCs w:val="18"/>
              </w:rPr>
              <w:t xml:space="preserve">0.01 (constant)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Fine-tune steps</w:t>
            </w:r>
          </w:p>
        </w:tc>
        <w:tc>
          <w:tcPr>
            <w:vAlign w:val="center"/>
          </w:tcPr>
          <w:p>
            <w:pPr>
              <w:pStyle w:val="Compact"/>
              <w:suppressAutoHyphens/>
              <w:jc w:val="center"/>
            </w:pPr>
            <w:r>
              <w:rPr>
                <w:sz w:val="18"/>
                <w:szCs w:val="18"/>
              </w:rPr>
              <w:t xml:space="preserve">~8500 on 326 k energetic-biased SMILES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combo_bundle/limo_model.py</w:t>
            </w:r>
            <w:r>
              <w:rPr>
                <w:sz w:val="18"/>
                <w:szCs w:val="18"/>
              </w:rPr>
              <w:t xml:space="preserve"> </w:t>
            </w:r>
            <w:r>
              <w:rPr>
                <w:sz w:val="18"/>
                <w:szCs w:val="18"/>
              </w:rPr>
              <w:t xml:space="preserve">(LIMOVAE class)</w:t>
            </w:r>
          </w:p>
        </w:tc>
      </w:tr>
    </w:tbl>
    <w:p>
      <w:pPr>
        <w:pStyle w:val="MDPI18keywords"/>
        <w:ind w:left="2608"/>
      </w:pPr>
    </w:p>
    <w:p>
      <w:pPr>
        <w:pStyle w:val="MDPI41tablecaption"/>
        <w:ind w:left="2608"/>
      </w:pPr>
      <w:r>
        <w:rPr>
          <w:b/>
          <w:bCs/>
        </w:rPr>
        <w:t xml:space="preserve">Table S3.</w:t>
      </w:r>
      <w:r>
        <w:t xml:space="preserve"> </w:t>
      </w:r>
      <w:r>
        <w:t xml:space="preserve">Denoiser and multi-task score-model hyperparameters. Source of truth for all denoiser and score-model numeric values referenced in the Materials and Methods (Section 4).</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3"/>
        <w:gridCol w:w="2004"/>
        <w:gridCol w:w="4281"/>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Denoiser ε</w:t>
            </w:r>
            <w:r>
              <w:rPr>
                <w:vertAlign w:val="subscript"/>
                <w:sz w:val="18"/>
                <w:szCs w:val="18"/>
              </w:rPr>
              <w:t xml:space="preserve">θ</w:t>
            </w:r>
            <w:r>
              <w:rPr>
                <w:sz w:val="18"/>
                <w:szCs w:val="18"/>
              </w:rPr>
              <w:t xml:space="preserve"> </w:t>
            </w:r>
            <w:r>
              <w:rPr>
                <w:sz w:val="18"/>
                <w:szCs w:val="18"/>
              </w:rPr>
              <w:t xml:space="preserve">(DGLD-P; Fig 16)</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FiLM-modulated ResNet, 8 residual blocks, latent 1024, hidden 2048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LayerNorm–Linear(1024→2048)–FiLM(γ,β)–SiLU–Linear(2048→1024)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44.6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Time-embed dim</w:t>
            </w:r>
          </w:p>
        </w:tc>
        <w:tc>
          <w:tcPr>
            <w:vAlign w:val="center"/>
          </w:tcPr>
          <w:p>
            <w:pPr>
              <w:pStyle w:val="Compact"/>
              <w:suppressAutoHyphens/>
              <w:jc w:val="center"/>
            </w:pPr>
            <w:r>
              <w:rPr>
                <w:sz w:val="18"/>
                <w:szCs w:val="18"/>
              </w:rPr>
              <w:t xml:space="preserve">256 (sinusoidal → 2-layer MLP)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Property-embed dim</w:t>
            </w:r>
          </w:p>
        </w:tc>
        <w:tc>
          <w:tcPr>
            <w:vAlign w:val="center"/>
          </w:tcPr>
          <w:p>
            <w:pPr>
              <w:pStyle w:val="Compact"/>
              <w:suppressAutoHyphens/>
              <w:jc w:val="center"/>
            </w:pPr>
            <w:r>
              <w:rPr>
                <w:sz w:val="18"/>
                <w:szCs w:val="18"/>
              </w:rPr>
              <w:t xml:space="preserve">64 per property × 4 properties = 256, plus learned mask token</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Loss</w:t>
            </w:r>
          </w:p>
        </w:tc>
        <w:tc>
          <w:tcPr>
            <w:vAlign w:val="center"/>
          </w:tcPr>
          <w:p>
            <w:pPr>
              <w:pStyle w:val="Compact"/>
              <w:suppressAutoHyphens/>
              <w:jc w:val="center"/>
            </w:pPr>
            <w:r>
              <w:rPr>
                <w:sz w:val="18"/>
                <w:szCs w:val="18"/>
              </w:rPr>
              <w:t xml:space="preserve">masked MSE on predicted noise ε with mask m</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 (diffusion steps)</w:t>
            </w:r>
          </w:p>
        </w:tc>
        <w:tc>
          <w:tcPr>
            <w:vAlign w:val="center"/>
          </w:tcPr>
          <w:p>
            <w:pPr>
              <w:pStyle w:val="Compact"/>
              <w:suppressAutoHyphens/>
              <w:jc w:val="center"/>
            </w:pPr>
            <w:r>
              <w:rPr>
                <w:sz w:val="18"/>
                <w:szCs w:val="18"/>
              </w:rPr>
              <w:t xml:space="preserve">1000 (cosine schedule, Nichol &amp; Dhariwal)</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EMA decay</w:t>
            </w:r>
          </w:p>
        </w:tc>
        <w:tc>
          <w:tcPr>
            <w:vAlign w:val="center"/>
          </w:tcPr>
          <w:p>
            <w:pPr>
              <w:pStyle w:val="Compact"/>
              <w:suppressAutoHyphens/>
              <w:jc w:val="center"/>
            </w:pPr>
            <w:r>
              <w:rPr>
                <w:sz w:val="18"/>
                <w:szCs w:val="18"/>
              </w:rPr>
              <w:t xml:space="preserve">0.999</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1e-4 / 1e-4 (cosine decay)</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cfg-dropout rate</w:t>
            </w:r>
          </w:p>
        </w:tc>
        <w:tc>
          <w:tcPr>
            <w:vAlign w:val="center"/>
          </w:tcPr>
          <w:p>
            <w:pPr>
              <w:pStyle w:val="Compact"/>
              <w:suppressAutoHyphens/>
              <w:jc w:val="center"/>
            </w:pPr>
            <w:r>
              <w:rPr>
                <w:sz w:val="18"/>
                <w:szCs w:val="18"/>
              </w:rPr>
              <w:t xml:space="preserve">0.10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property-dropout rate (DGLD-P)</w:t>
            </w:r>
          </w:p>
        </w:tc>
        <w:tc>
          <w:tcPr>
            <w:vAlign w:val="center"/>
          </w:tcPr>
          <w:p>
            <w:pPr>
              <w:pStyle w:val="Compact"/>
              <w:suppressAutoHyphens/>
              <w:jc w:val="center"/>
            </w:pPr>
            <w:r>
              <w:rPr>
                <w:sz w:val="18"/>
                <w:szCs w:val="18"/>
              </w:rPr>
              <w:t xml:space="preserve">0.30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oversample-extreme factor / quantile</w:t>
            </w:r>
          </w:p>
        </w:tc>
        <w:tc>
          <w:tcPr>
            <w:vAlign w:val="center"/>
          </w:tcPr>
          <w:p>
            <w:pPr>
              <w:pStyle w:val="Compact"/>
              <w:suppressAutoHyphens/>
              <w:jc w:val="center"/>
            </w:pPr>
            <w:r>
              <w:rPr>
                <w:sz w:val="18"/>
                <w:szCs w:val="18"/>
              </w:rPr>
              <w:t xml:space="preserve">5×–10× above 90th percentile (high tail; matches Section 4.2)</w:t>
            </w:r>
          </w:p>
        </w:tc>
      </w:tr>
      <w:tr>
        <w:tc>
          <w:tcPr>
            <w:vMerge w:val="restart"/>
            <w:vAlign w:val="center"/>
          </w:tcPr>
          <w:p>
            <w:pPr>
              <w:pStyle w:val="Compact"/>
              <w:suppressAutoHyphens/>
              <w:jc w:val="center"/>
            </w:pPr>
            <w:r>
              <w:rPr>
                <w:sz w:val="18"/>
                <w:szCs w:val="18"/>
              </w:rPr>
              <w:t xml:space="preserve">Multi-task score model (Fig 18)</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4-block FiLM-MLP, latent 1024, hidden 1024, σ-embed 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Per-block layers</w:t>
            </w:r>
          </w:p>
        </w:tc>
        <w:tc>
          <w:tcPr>
            <w:vAlign w:val="center"/>
          </w:tcPr>
          <w:p>
            <w:pPr>
              <w:pStyle w:val="Compact"/>
              <w:suppressAutoHyphens/>
              <w:jc w:val="center"/>
            </w:pPr>
            <w:r>
              <w:rPr>
                <w:sz w:val="18"/>
                <w:szCs w:val="18"/>
              </w:rPr>
              <w:t xml:space="preserve">Linear(1024→1024)–LayerNorm–FiLM(σ-emb→(γ,β) over 1024)–SiLU–Dropout(0.1) with residual add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σ embedding</w:t>
            </w:r>
          </w:p>
        </w:tc>
        <w:tc>
          <w:tcPr>
            <w:vAlign w:val="center"/>
          </w:tcPr>
          <w:p>
            <w:pPr>
              <w:pStyle w:val="Compact"/>
              <w:suppressAutoHyphens/>
              <w:jc w:val="center"/>
            </w:pPr>
            <w:r>
              <w:rPr>
                <w:sz w:val="18"/>
                <w:szCs w:val="18"/>
              </w:rPr>
              <w:t xml:space="preserve">Linear(1→128)–SiLU–Linear(128→128)</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Heads (6, parallel on 1024-d trunk)</w:t>
            </w:r>
          </w:p>
        </w:tc>
        <w:tc>
          <w:tcPr>
            <w:vAlign w:val="center"/>
          </w:tcPr>
          <w:p>
            <w:pPr>
              <w:pStyle w:val="Compact"/>
              <w:suppressAutoHyphens/>
              <w:jc w:val="center"/>
            </w:pPr>
            <w:r>
              <w:rPr>
                <w:sz w:val="18"/>
                <w:szCs w:val="18"/>
              </w:rPr>
              <w:t xml:space="preserve">Linear(1024→256)–SiLU–Linear(256→d</w:t>
            </w:r>
            <w:r>
              <w:rPr>
                <w:vertAlign w:val="subscript"/>
                <w:sz w:val="18"/>
                <w:szCs w:val="18"/>
              </w:rPr>
              <w:t xml:space="preserve">k</w:t>
            </w:r>
            <w:r>
              <w:rPr>
                <w:sz w:val="18"/>
                <w:szCs w:val="18"/>
              </w:rPr>
              <w:t xml:space="preserve">); d</w:t>
            </w:r>
            <w:r>
              <w:rPr>
                <w:vertAlign w:val="subscript"/>
                <w:sz w:val="18"/>
                <w:szCs w:val="18"/>
              </w:rPr>
              <w:t xml:space="preserve">k</w:t>
            </w:r>
            <w:r>
              <w:rPr>
                <w:sz w:val="18"/>
                <w:szCs w:val="18"/>
              </w:rPr>
              <w:t xml:space="preserve">=1 for viability/SA/SC/sensitivity/hazard; d</w:t>
            </w:r>
            <w:r>
              <w:rPr>
                <w:vertAlign w:val="subscript"/>
                <w:sz w:val="18"/>
                <w:szCs w:val="18"/>
              </w:rPr>
              <w:t xml:space="preserve">k</w:t>
            </w:r>
            <w:r>
              <w:rPr>
                <w:sz w:val="18"/>
                <w:szCs w:val="18"/>
              </w:rPr>
              <w:t xml:space="preserve">=4 for performance (ρ, HOF, D, P)</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Activation</w:t>
            </w:r>
          </w:p>
        </w:tc>
        <w:tc>
          <w:tcPr>
            <w:vAlign w:val="center"/>
          </w:tcPr>
          <w:p>
            <w:pPr>
              <w:pStyle w:val="Compact"/>
              <w:suppressAutoHyphens/>
              <w:jc w:val="center"/>
            </w:pPr>
            <w:r>
              <w:rPr>
                <w:sz w:val="18"/>
                <w:szCs w:val="18"/>
              </w:rPr>
              <w:t xml:space="preserve">SiLU (trunk); sigmoid on viability/hazard logits at use-time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Per-head loss</w:t>
            </w:r>
          </w:p>
        </w:tc>
        <w:tc>
          <w:tcPr>
            <w:vAlign w:val="center"/>
          </w:tcPr>
          <w:p>
            <w:pPr>
              <w:pStyle w:val="Compact"/>
              <w:suppressAutoHyphens/>
              <w:jc w:val="center"/>
            </w:pPr>
            <w:r>
              <w:rPr>
                <w:sz w:val="18"/>
                <w:szCs w:val="18"/>
              </w:rPr>
              <w:t xml:space="preserve">BCE-with-logits (viability, hazard); smooth-L1 on z-scored target (SA, SC, sensitivity, performance), performance masked to Tier-A/B</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Noise-level curriculum</w:t>
            </w:r>
          </w:p>
        </w:tc>
        <w:tc>
          <w:tcPr>
            <w:vAlign w:val="center"/>
          </w:tcPr>
          <w:p>
            <w:pPr>
              <w:pStyle w:val="Compact"/>
              <w:suppressAutoHyphens/>
              <w:jc w:val="center"/>
            </w:pPr>
            <w:r>
              <w:rPr>
                <w:sz w:val="18"/>
                <w:szCs w:val="18"/>
              </w:rPr>
              <w:t xml:space="preserve">σ ~ U(0, σ</w:t>
            </w:r>
            <w:r>
              <w:rPr>
                <w:vertAlign w:val="subscript"/>
                <w:sz w:val="18"/>
                <w:szCs w:val="18"/>
              </w:rPr>
              <w:t xml:space="preserve">max</w:t>
            </w:r>
            <w:r>
              <w:rPr>
                <w:sz w:val="18"/>
                <w:szCs w:val="18"/>
              </w:rPr>
              <w:t xml:space="preserve">=2.0) per batch; z</w:t>
            </w:r>
            <w:r>
              <w:rPr>
                <w:vertAlign w:val="subscript"/>
                <w:sz w:val="18"/>
                <w:szCs w:val="18"/>
              </w:rPr>
              <w:t xml:space="preserve">t</w:t>
            </w:r>
            <w:r>
              <w:rPr>
                <w:sz w:val="18"/>
                <w:szCs w:val="18"/>
              </w:rPr>
              <w:t xml:space="preserve">=z</w:t>
            </w:r>
            <w:r>
              <w:rPr>
                <w:vertAlign w:val="subscript"/>
                <w:sz w:val="18"/>
                <w:szCs w:val="18"/>
              </w:rPr>
              <w:t xml:space="preserve">0</w:t>
            </w:r>
            <w:r>
              <w:rPr>
                <w:sz w:val="18"/>
                <w:szCs w:val="18"/>
              </w:rPr>
              <w:t xml:space="preserve">+σ·ε</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Optimizer / LR / wd</w:t>
            </w:r>
          </w:p>
        </w:tc>
        <w:tc>
          <w:tcPr>
            <w:vAlign w:val="center"/>
          </w:tcPr>
          <w:p>
            <w:pPr>
              <w:pStyle w:val="Compact"/>
              <w:suppressAutoHyphens/>
              <w:jc w:val="center"/>
            </w:pPr>
            <w:r>
              <w:rPr>
                <w:sz w:val="18"/>
                <w:szCs w:val="18"/>
              </w:rPr>
              <w:t xml:space="preserve">AdamW / 2e-4 / 1e-4 (cosine decay), grad-norm clip 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Steps / batch</w:t>
            </w:r>
          </w:p>
        </w:tc>
        <w:tc>
          <w:tcPr>
            <w:vAlign w:val="center"/>
          </w:tcPr>
          <w:p>
            <w:pPr>
              <w:pStyle w:val="Compact"/>
              <w:suppressAutoHyphens/>
              <w:jc w:val="center"/>
            </w:pPr>
            <w:r>
              <w:rPr>
                <w:sz w:val="18"/>
                <w:szCs w:val="18"/>
              </w:rPr>
              <w:t xml:space="preserve">~40k AdamW steps / batch 1024 (matches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Sample-time guidance</w:t>
            </w:r>
          </w:p>
        </w:tc>
        <w:tc>
          <w:tcPr>
            <w:vAlign w:val="center"/>
          </w:tcPr>
          <w:p>
            <w:pPr>
              <w:pStyle w:val="Compact"/>
              <w:suppressAutoHyphens/>
              <w:jc w:val="center"/>
            </w:pPr>
            <w:r>
              <w:rPr>
                <w:sz w:val="18"/>
                <w:szCs w:val="18"/>
              </w:rPr>
              <w:t xml:space="preserve">autograd of head losses w.r.t. z</w:t>
            </w:r>
            <w:r>
              <w:rPr>
                <w:vertAlign w:val="subscript"/>
                <w:sz w:val="18"/>
                <w:szCs w:val="18"/>
              </w:rPr>
              <w:t xml:space="preserve">t</w:t>
            </w:r>
            <w:r>
              <w:rPr>
                <w:sz w:val="18"/>
                <w:szCs w:val="18"/>
              </w:rPr>
              <w:t xml:space="preserve">; per-head clamp + alpha-anneal disabled (Section 4.10)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Code</w:t>
            </w:r>
          </w:p>
        </w:tc>
        <w:tc>
          <w:tcPr>
            <w:vAlign w:val="center"/>
          </w:tcPr>
          <w:p>
            <w:pPr>
              <w:pStyle w:val="Compact"/>
              <w:suppressAutoHyphens/>
              <w:jc w:val="center"/>
            </w:pPr>
            <w:r>
              <w:rPr>
                <w:rStyle w:val="VerbatimChar"/>
                <w:sz w:val="18"/>
                <w:szCs w:val="18"/>
              </w:rPr>
              <w:t xml:space="preserve">combo_bundle/train_multihead_latent.py</w:t>
            </w:r>
            <w:r>
              <w:rPr>
                <w:sz w:val="18"/>
                <w:szCs w:val="18"/>
              </w:rPr>
              <w:t xml:space="preserve"> </w:t>
            </w:r>
            <w:r>
              <w:rPr>
                <w:sz w:val="18"/>
                <w:szCs w:val="18"/>
              </w:rPr>
              <w:t xml:space="preserve">(MultiHeadScoreModel)</w:t>
            </w:r>
          </w:p>
        </w:tc>
      </w:tr>
    </w:tbl>
    <w:p>
      <w:pPr>
        <w:pStyle w:val="MDPI18keywords"/>
        <w:ind w:left="2608"/>
      </w:pPr>
    </w:p>
    <w:p>
      <w:pPr>
        <w:pStyle w:val="MDPI41tablecaption"/>
        <w:ind w:left="2608"/>
      </w:pPr>
      <w:r>
        <w:rPr>
          <w:b/>
          <w:bCs/>
        </w:rPr>
        <w:t xml:space="preserve">Table S4.</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019"/>
        <w:gridCol w:w="2126"/>
        <w:gridCol w:w="3713"/>
      </w:tblGrid>
      <w:tr>
        <w:trPr>
          <w:tblHeader w:val="on"/>
        </w:trPr>
        <w:tc>
          <w:tcPr>
            <w:tcBorders>
              <w:bottom w:val="single" w:sz="8" w:space="0" w:color="auto"/>
            </w:tcBorders>
            <w:vAlign w:val="center"/>
          </w:tcPr>
          <w:p>
            <w:pPr>
              <w:pStyle w:val="Compact"/>
              <w:suppressAutoHyphens/>
              <w:jc w:val="center"/>
            </w:pPr>
            <w:r>
              <w:rPr>
                <w:b/>
                <w:sz w:val="18"/>
                <w:szCs w:val="18"/>
              </w:rPr>
              <w:t xml:space="preserve">Component</w:t>
            </w:r>
          </w:p>
        </w:tc>
        <w:tc>
          <w:tcPr>
            <w:tcBorders>
              <w:bottom w:val="single" w:sz="8" w:space="0" w:color="auto"/>
            </w:tcBorders>
            <w:vAlign w:val="center"/>
          </w:tcPr>
          <w:p>
            <w:pPr>
              <w:pStyle w:val="Compact"/>
              <w:suppressAutoHyphens/>
              <w:jc w:val="center"/>
            </w:pPr>
            <w:r>
              <w:rPr>
                <w:b/>
                <w:sz w:val="18"/>
                <w:szCs w:val="18"/>
              </w:rPr>
              <w:t xml:space="preserve">Hyperparameter</w:t>
            </w:r>
          </w:p>
        </w:tc>
        <w:tc>
          <w:tcPr>
            <w:tcBorders>
              <w:bottom w:val="single" w:sz="8" w:space="0" w:color="auto"/>
            </w:tcBorders>
            <w:vAlign w:val="center"/>
          </w:tcPr>
          <w:p>
            <w:pPr>
              <w:pStyle w:val="Compact"/>
              <w:suppressAutoHyphens/>
              <w:jc w:val="center"/>
            </w:pPr>
            <w:r>
              <w:rPr>
                <w:b/>
                <w:sz w:val="18"/>
                <w:szCs w:val="18"/>
              </w:rPr>
              <w:t xml:space="preserve">Value</w:t>
            </w:r>
          </w:p>
        </w:tc>
      </w:tr>
      <w:tr>
        <w:tc>
          <w:tcPr>
            <w:vMerge w:val="restart"/>
            <w:vAlign w:val="center"/>
          </w:tcPr>
          <w:p>
            <w:pPr>
              <w:pStyle w:val="Compact"/>
              <w:suppressAutoHyphens/>
              <w:jc w:val="center"/>
            </w:pPr>
            <w:r>
              <w:rPr>
                <w:sz w:val="18"/>
                <w:szCs w:val="18"/>
              </w:rPr>
              <w:t xml:space="preserve">Random-Forest viability classifier (training-label source)</w:t>
            </w:r>
          </w:p>
        </w:tc>
        <w:tc>
          <w:tcPr>
            <w:vAlign w:val="center"/>
          </w:tcPr>
          <w:p>
            <w:pPr>
              <w:pStyle w:val="Compact"/>
              <w:suppressAutoHyphens/>
              <w:jc w:val="center"/>
            </w:pPr>
            <w:r>
              <w:rPr>
                <w:sz w:val="18"/>
                <w:szCs w:val="18"/>
              </w:rPr>
              <w:t xml:space="preserve">Algorithm</w:t>
            </w:r>
          </w:p>
        </w:tc>
        <w:tc>
          <w:tcPr>
            <w:vAlign w:val="center"/>
          </w:tcPr>
          <w:p>
            <w:pPr>
              <w:pStyle w:val="Compact"/>
              <w:suppressAutoHyphens/>
              <w:jc w:val="center"/>
            </w:pPr>
            <w:r>
              <w:rPr>
                <w:sz w:val="18"/>
                <w:szCs w:val="18"/>
              </w:rPr>
              <w:t xml:space="preserve">scikit-learn RandomForestClassifier (CPU)</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n_estimators / max_depth / min_samples_leaf</w:t>
            </w:r>
          </w:p>
        </w:tc>
        <w:tc>
          <w:tcPr>
            <w:vAlign w:val="center"/>
          </w:tcPr>
          <w:p>
            <w:pPr>
              <w:pStyle w:val="Compact"/>
              <w:suppressAutoHyphens/>
              <w:jc w:val="center"/>
            </w:pPr>
            <w:r>
              <w:rPr>
                <w:sz w:val="18"/>
                <w:szCs w:val="18"/>
              </w:rPr>
              <w:t xml:space="preserve">200 / 22 / 4 (v2-hardneg; v1 uses CLI flags: see code)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Class weight / random_state</w:t>
            </w:r>
          </w:p>
        </w:tc>
        <w:tc>
          <w:tcPr>
            <w:vAlign w:val="center"/>
          </w:tcPr>
          <w:p>
            <w:pPr>
              <w:pStyle w:val="Compact"/>
              <w:suppressAutoHyphens/>
              <w:jc w:val="center"/>
            </w:pPr>
            <w:r>
              <w:rPr>
                <w:sz w:val="18"/>
                <w:szCs w:val="18"/>
              </w:rPr>
              <w:t xml:space="preserve">balanced / 42</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Feature dim</w:t>
            </w:r>
          </w:p>
        </w:tc>
        <w:tc>
          <w:tcPr>
            <w:vAlign w:val="center"/>
          </w:tcPr>
          <w:p>
            <w:pPr>
              <w:pStyle w:val="Compact"/>
              <w:suppressAutoHyphens/>
              <w:jc w:val="center"/>
            </w:pPr>
            <w:r>
              <w:rPr>
                <w:sz w:val="18"/>
                <w:szCs w:val="18"/>
              </w:rPr>
              <w:t xml:space="preserve">~2069 = 2048 Morgan FP (radius 2) + 10 RDKit descriptors + 11 derived CHNO/OB features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Training data</w:t>
            </w:r>
          </w:p>
        </w:tc>
        <w:tc>
          <w:tcPr>
            <w:vAlign w:val="center"/>
          </w:tcPr>
          <w:p>
            <w:pPr>
              <w:pStyle w:val="Compact"/>
              <w:suppressAutoHyphens/>
              <w:jc w:val="center"/>
            </w:pPr>
            <w:r>
              <w:rPr>
                <w:sz w:val="18"/>
                <w:szCs w:val="18"/>
              </w:rPr>
              <w:t xml:space="preserve">66 k labelled energetics positives vs 80 k ZINC-15 random negatives + mined hard negatives (Supplementary Section B.1)</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AUC</w:t>
            </w:r>
          </w:p>
        </w:tc>
        <w:tc>
          <w:tcPr>
            <w:vAlign w:val="center"/>
          </w:tcPr>
          <w:p>
            <w:pPr>
              <w:pStyle w:val="Compact"/>
              <w:suppressAutoHyphens/>
              <w:jc w:val="center"/>
            </w:pPr>
            <w:r>
              <w:rPr>
                <w:sz w:val="18"/>
                <w:szCs w:val="18"/>
              </w:rPr>
              <w:t xml:space="preserve">0.9986 (v2-hardneg test split)</w:t>
            </w:r>
          </w:p>
        </w:tc>
      </w:tr>
      <w:tr>
        <w:tc>
          <w:tcPr>
            <w:vMerge w:val="restart"/>
            <w:vAlign w:val="center"/>
          </w:tcPr>
          <w:p>
            <w:pPr>
              <w:pStyle w:val="Compact"/>
              <w:suppressAutoHyphens/>
              <w:jc w:val="center"/>
            </w:pPr>
            <w:r>
              <w:rPr>
                <w:sz w:val="18"/>
                <w:szCs w:val="18"/>
              </w:rPr>
              <w:t xml:space="preserve">3D smoke-model ensemble (training-label source &amp; Stage-1 scorer)</w:t>
            </w:r>
          </w:p>
        </w:tc>
        <w:tc>
          <w:tcPr>
            <w:vAlign w:val="center"/>
          </w:tcPr>
          <w:p>
            <w:pPr>
              <w:pStyle w:val="Compact"/>
              <w:suppressAutoHyphens/>
              <w:jc w:val="center"/>
            </w:pPr>
            <w:r>
              <w:rPr>
                <w:sz w:val="18"/>
                <w:szCs w:val="18"/>
              </w:rPr>
              <w:t xml:space="preserve">Backbone</w:t>
            </w:r>
          </w:p>
        </w:tc>
        <w:tc>
          <w:tcPr>
            <w:vAlign w:val="center"/>
          </w:tcPr>
          <w:p>
            <w:pPr>
              <w:pStyle w:val="Compact"/>
              <w:suppressAutoHyphens/>
              <w:jc w:val="center"/>
            </w:pPr>
            <w:r>
              <w:rPr>
                <w:sz w:val="18"/>
                <w:szCs w:val="18"/>
              </w:rPr>
              <w:t xml:space="preserve">Uni-Mol v1 (Zhou et al. 2023) regression head, 2-model scaffold-split ensemble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Parameter count</w:t>
            </w:r>
          </w:p>
        </w:tc>
        <w:tc>
          <w:tcPr>
            <w:vAlign w:val="center"/>
          </w:tcPr>
          <w:p>
            <w:pPr>
              <w:pStyle w:val="Compact"/>
              <w:suppressAutoHyphens/>
              <w:jc w:val="center"/>
            </w:pPr>
            <w:r>
              <w:rPr>
                <w:sz w:val="18"/>
                <w:szCs w:val="18"/>
              </w:rPr>
              <w:t xml:space="preserve">~84 M per fold × 2 folds</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Inputs</w:t>
            </w:r>
          </w:p>
        </w:tc>
        <w:tc>
          <w:tcPr>
            <w:vAlign w:val="center"/>
          </w:tcPr>
          <w:p>
            <w:pPr>
              <w:pStyle w:val="Compact"/>
              <w:suppressAutoHyphens/>
              <w:jc w:val="center"/>
            </w:pPr>
            <w:r>
              <w:rPr>
                <w:sz w:val="18"/>
                <w:szCs w:val="18"/>
              </w:rPr>
              <w:t xml:space="preserve">3D conformer atom-coordinate set (Uni-Mol native); not a raw voxel grid</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Outputs (8)</w:t>
            </w:r>
          </w:p>
        </w:tc>
        <w:tc>
          <w:tcPr>
            <w:vAlign w:val="center"/>
          </w:tcPr>
          <w:p>
            <w:pPr>
              <w:pStyle w:val="Compact"/>
              <w:suppressAutoHyphens/>
              <w:jc w:val="center"/>
            </w:pPr>
            <w:r>
              <w:rPr>
                <w:sz w:val="18"/>
                <w:szCs w:val="18"/>
              </w:rPr>
              <w:t xml:space="preserve">ρ, D, P, det-temperature T, det-energy E, det-volume V, HOF, BDE</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Validation R</w:t>
            </w:r>
            <w:r>
              <w:rPr>
                <w:vertAlign w:val="superscript"/>
                <w:sz w:val="18"/>
                <w:szCs w:val="18"/>
              </w:rPr>
              <w:t xml:space="preserve">2</w:t>
            </w:r>
          </w:p>
        </w:tc>
        <w:tc>
          <w:tcPr>
            <w:vAlign w:val="center"/>
          </w:tcPr>
          <w:p>
            <w:pPr>
              <w:pStyle w:val="Compact"/>
              <w:suppressAutoHyphens/>
              <w:jc w:val="center"/>
            </w:pPr>
            <w:r>
              <w:rPr>
                <w:sz w:val="18"/>
                <w:szCs w:val="18"/>
              </w:rPr>
              <w:t xml:space="preserve">0.84–0.92 (5-fold CV, per output)</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Wrapper / inference</w:t>
            </w:r>
          </w:p>
        </w:tc>
        <w:tc>
          <w:tcPr>
            <w:vAlign w:val="center"/>
          </w:tcPr>
          <w:p>
            <w:pPr>
              <w:pStyle w:val="Compact"/>
              <w:suppressAutoHyphens/>
              <w:jc w:val="center"/>
            </w:pPr>
            <w:r>
              <w:rPr>
                <w:rStyle w:val="VerbatimChar"/>
                <w:sz w:val="18"/>
                <w:szCs w:val="18"/>
              </w:rPr>
              <w:t xml:space="preserve">scripts/diffusion/unimol_validator.py</w:t>
            </w:r>
            <w:r>
              <w:rPr>
                <w:sz w:val="18"/>
                <w:szCs w:val="18"/>
              </w:rPr>
              <w:t xml:space="preserve">; reset every 80 batches</w:t>
            </w:r>
          </w:p>
        </w:tc>
      </w:tr>
      <w:tr>
        <w:tc>
          <w:tcPr>
            <w:vMerge w:val="restart"/>
            <w:vAlign w:val="center"/>
          </w:tcPr>
          <w:p>
            <w:pPr>
              <w:pStyle w:val="Compact"/>
              <w:suppressAutoHyphens/>
              <w:jc w:val="center"/>
            </w:pPr>
            <w:r>
              <w:rPr>
                <w:sz w:val="18"/>
                <w:szCs w:val="18"/>
              </w:rPr>
              <w:t xml:space="preserve">Re-ranking (Stage 1–2)</w:t>
            </w:r>
          </w:p>
        </w:tc>
        <w:tc>
          <w:tcPr>
            <w:vAlign w:val="center"/>
          </w:tcPr>
          <w:p>
            <w:pPr>
              <w:pStyle w:val="Compact"/>
              <w:suppressAutoHyphens/>
              <w:jc w:val="center"/>
            </w:pPr>
            <w:r>
              <w:rPr>
                <w:sz w:val="18"/>
                <w:szCs w:val="18"/>
              </w:rPr>
              <w:t xml:space="preserve">SA cap</w:t>
            </w:r>
          </w:p>
        </w:tc>
        <w:tc>
          <w:tcPr>
            <w:vAlign w:val="center"/>
          </w:tcPr>
          <w:p>
            <w:pPr>
              <w:pStyle w:val="Compact"/>
              <w:suppressAutoHyphens/>
              <w:jc w:val="center"/>
            </w:pPr>
            <w:r>
              <w:rPr>
                <w:sz w:val="18"/>
                <w:szCs w:val="18"/>
              </w:rPr>
              <w:t xml:space="preserve">5.0</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SC cap</w:t>
            </w:r>
          </w:p>
        </w:tc>
        <w:tc>
          <w:tcPr>
            <w:vAlign w:val="center"/>
          </w:tcPr>
          <w:p>
            <w:pPr>
              <w:pStyle w:val="Compact"/>
              <w:suppressAutoHyphens/>
              <w:jc w:val="center"/>
            </w:pPr>
            <w:r>
              <w:rPr>
                <w:sz w:val="18"/>
                <w:szCs w:val="18"/>
              </w:rPr>
              <w:t xml:space="preserve">3.5</w:t>
            </w:r>
          </w:p>
        </w:tc>
      </w:tr>
      <w:tr>
        <w:tc>
          <w:tcPr>
            <w:gridSpan w:val="1"/>
            <w:vMerge w:val="continue"/>
            <w:vAlign w:val="center"/>
          </w:tcPr>
          <w:p>
            <w:pPr>
              <w:suppressAutoHyphens/>
              <w:jc w:val="center"/>
            </w:pPr>
          </w:p>
        </w:tc>
        <w:tc>
          <w:tcPr>
            <w:vAlign w:val="center"/>
          </w:tcPr>
          <w:p>
            <w:pPr>
              <w:pStyle w:val="Compact"/>
              <w:suppressAutoHyphens/>
              <w:jc w:val="center"/>
            </w:pPr>
            <w:r>
              <w:rPr>
                <w:sz w:val="18"/>
                <w:szCs w:val="18"/>
              </w:rPr>
              <w:t xml:space="preserve">Tanimoto window</w:t>
            </w:r>
          </w:p>
        </w:tc>
        <w:tc>
          <w:tcPr>
            <w:vAlign w:val="center"/>
          </w:tcPr>
          <w:p>
            <w:pPr>
              <w:pStyle w:val="Compact"/>
              <w:suppressAutoHyphens/>
              <w:jc w:val="center"/>
            </w:pPr>
            <w:r>
              <w:rPr>
                <w:sz w:val="18"/>
                <w:szCs w:val="18"/>
              </w:rPr>
              <w:t xml:space="preserve">(0.20, 0.55)</w:t>
            </w:r>
          </w:p>
        </w:tc>
      </w:tr>
    </w:tbl>
    <w:p>
      <w:pPr>
        <w:pStyle w:val="MDPI18keywords"/>
        <w:ind w:left="2608"/>
      </w:pPr>
      <w:r>
        <w:rPr>
          <w:b/>
          <w:bCs/>
        </w:rPr>
        <w:t xml:space="preserve">B.1 Hard-negative augmentation (self-distillation).</w:t>
      </w:r>
    </w:p>
    <w:p>
      <w:pPr>
        <w:pStyle w:val="MDPI18keywords"/>
        <w:ind w:left="2608"/>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Section 4.8).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three-round training schedule (0 → 137 → 918 cumulative hard negatives; Fig 19) is specified in Section 4.14 and not repeated here.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Supplementary Section D.9 reports an early variant (137 cheats) versus the production variant (918 cheats).</w:t>
      </w:r>
    </w:p>
    <w:p>
      <w:pPr>
        <w:pStyle w:val="MDPI18keywords"/>
        <w:ind w:left="2608"/>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Section 4.8). The score model after round 2 (corpus + 918 hard negatives) is the production checkpoint used in Section 2.</w:t>
      </w:r>
    </w:p>
    <w:p>
      <w:pPr>
        <w:pStyle w:val="MDPI18keywords"/>
        <w:ind w:left="2608"/>
      </w:pPr>
      <w:r>
        <w:rPr>
          <w:b/>
          <w:bCs/>
        </w:rPr>
        <w:t xml:space="preserve">Procedure summary.</w:t>
      </w:r>
      <w:r>
        <w:t xml:space="preserve"> </w:t>
      </w:r>
      <w:r>
        <w:t xml:space="preserve">The protocol of Fig 19 in five steps, repeated for at most three rounds:</w:t>
      </w:r>
    </w:p>
    <w:p>
      <w:pPr>
        <w:pStyle w:val="Compact"/>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pPr>
      <w:r>
        <w:rPr>
          <w:b/>
          <w:bCs/>
        </w:rPr>
        <w:t xml:space="preserve">Sample</w:t>
      </w:r>
      <w:r>
        <w:t xml:space="preserve"> </w:t>
      </w:r>
      <w:r>
        <w:t xml:space="preserve">a candidate pool from the diffusion model using the current score-model's guidance.</w:t>
      </w:r>
    </w:p>
    <w:p>
      <w:pPr>
        <w:pStyle w:val="Compact"/>
      </w:pPr>
      <w:r>
        <w:rPr>
          <w:b/>
          <w:bCs/>
        </w:rPr>
        <w:t xml:space="preserve">Mine</w:t>
      </w:r>
      <w:r>
        <w:t xml:space="preserve"> </w:t>
      </w:r>
      <w:r>
        <w:t xml:space="preserve">false positives: high predicted viability but rejected by the chem-curated SMARTS gate.</w:t>
      </w:r>
    </w:p>
    <w:p>
      <w:pPr>
        <w:pStyle w:val="Compact"/>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MDPI18keywords"/>
        <w:ind w:left="2608"/>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MDPI18keywords"/>
        <w:ind w:left="2608"/>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Section 5)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MDPI18keywords"/>
        <w:ind w:left="2608"/>
      </w:pPr>
      <w:r>
        <w:rPr>
          <w:b/>
          <w:bCs/>
        </w:rPr>
        <w:t xml:space="preserve">B.2 Sensitivity head: heuristic vs literature-grounded variants.</w:t>
      </w:r>
      <w:r>
        <w:t xml:space="preserve"> </w:t>
      </w:r>
      <w:r>
        <w:t xml:space="preserve">The default 5-head score model trains the sensitivity head against the hand-coded heuristic of Supplementary Section B.2 (nitro density, open-chain N-NO</w:t>
      </w:r>
      <w:r>
        <w:rPr>
          <w:vertAlign w:val="subscript"/>
        </w:rPr>
        <w:t xml:space="preserve">2</w:t>
      </w:r>
      <w:r>
        <w:t xml:space="preserve"> </w:t>
      </w:r>
      <w:r>
        <w:t xml:space="preserve">count, small-skeleton penalties), then z-scored. Because guiding generation with gradients of a head trained on a heuristic measures sensitivity reduction only against that heuristic, so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[12]</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MDPI18keywords"/>
        <w:ind w:left="2608"/>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MDPI18keywords"/>
        <w:ind w:left="2608"/>
      </w:pPr>
      <w:r>
        <w:rPr>
          <w:b/>
          <w:bCs/>
        </w:rPr>
        <w:t xml:space="preserve">B.4 Drug-domain transfer heads (SA, SC).</w:t>
      </w:r>
      <w:r>
        <w:t xml:space="preserve"> </w:t>
      </w:r>
      <w:r>
        <w:t xml:space="preserve">The score model architected in Section 4.10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Section 4.10; that is a separate layer (post-decode hard caps on canonical SMILES) and is unaffected by the discussion here.</w:t>
      </w:r>
    </w:p>
    <w:p>
      <w:pPr>
        <w:pStyle w:val="MDPI18keywords"/>
        <w:ind w:left="2608"/>
      </w:pPr>
      <w:r>
        <w:rPr>
          <w:b/>
          <w:bCs/>
        </w:rPr>
        <w:t xml:space="preserve">Empirical sample-time evaluation.</w:t>
      </w:r>
      <w:r>
        <w:t xml:space="preserve"> </w:t>
      </w:r>
      <w:r>
        <w:t xml:space="preserve">SA was tested at sample time in the Supplementary Section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(Supplementary Section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MDPI18keywords"/>
        <w:ind w:left="2608"/>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S3)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Supplementary Section B.1). The cost of retaining is low; the cost of dropping (re-training the score model, re-running Supplementary Section F.4 to confirm no SA-axis dependency) is non-trivial. The heads are therefore retained.</w:t>
      </w:r>
    </w:p>
    <w:p>
      <w:pPr>
        <w:pStyle w:val="MDPI18keywords"/>
        <w:ind w:left="2608"/>
      </w:pPr>
      <w:r>
        <w:rPr>
          <w:b/>
          <w:bCs/>
        </w:rPr>
        <w:t xml:space="preserve">Cross-references.</w:t>
      </w:r>
      <w:r>
        <w:t xml:space="preserve"> </w:t>
      </w:r>
      <w:r>
        <w:t xml:space="preserve">The same SA / SC story appears in three places relevant to the headline: Section 4.10 Architecture (drug-domain transfer paragraph); Section 4.10 Sample-time gradient (the "Why</w:t>
      </w:r>
      <w:r>
        <w:t xml:space="preserve"> </w:t>
      </w:r>
      <m:oMath>
        <m:sSub>
          <m:e>
            <m:r>
              <m:t>s</m:t>
            </m:r>
          </m:e>
          <m:sub>
            <m:r>
              <m:rPr>
                <m:nor/>
                <m:sty m:val="p"/>
              </m:rPr>
              <m:t>SA</m:t>
            </m:r>
          </m:sub>
        </m:sSub>
        <m:r>
          <m:rPr>
            <m:sty m:val="p"/>
          </m:rPr>
          <m:t>=</m:t>
        </m:r>
        <m:r>
          <m:t>0</m:t>
        </m:r>
      </m:oMath>
      <w:r>
        <w:t xml:space="preserve"> </w:t>
      </w:r>
      <w:r>
        <w:t xml:space="preserve">and where SC is" paragraph); Supplementary Section F.4 Multi-seed pattern (the SA-C3-vs-SA-C2 numerical result). This appendix consolidates them.</w:t>
      </w:r>
    </w:p>
    <w:p>
      <w:pPr>
        <w:pStyle w:val="MDPI23heading3"/>
        <w:ind w:left="2608"/>
      </w:pPr>
      <w:r>
        <w:t xml:space="preserve">B.5 Production recipe (Table S5)</w:t>
      </w:r>
    </w:p>
    <w:p>
      <w:pPr>
        <w:pStyle w:val="MDPI18keywords"/>
        <w:ind w:left="2608"/>
      </w:pPr>
      <w:r>
        <w:t xml:space="preserve">Complete configuration used throughout Section 2.2–Section 2.5. Each knob traces to the Section 2.6 ablation (or Section 4.15 hyperparameter sweep) that selected it.</w:t>
      </w:r>
    </w:p>
    <w:p>
      <w:pPr>
        <w:pStyle w:val="MDPI41tablecaption"/>
        <w:ind w:left="2608"/>
      </w:pPr>
      <w:r>
        <w:rPr>
          <w:b/>
          <w:bCs/>
        </w:rPr>
        <w:t xml:space="preserve">Table S5.</w:t>
      </w:r>
      <w:r>
        <w:t xml:space="preserve"> </w:t>
      </w:r>
      <w:r>
        <w:t xml:space="preserve">Production recipe for the Section 2 experiments. Knobs grouped by stage: generative model, score model, sampler, filter pipeline (Stages 1–4), reranker. “Justified by” points to the ablation or sweep that fixed the value.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99"/>
        <w:gridCol w:w="3484"/>
        <w:gridCol w:w="2675"/>
      </w:tblGrid>
      <w:tr>
        <w:trPr>
          <w:tblHeader w:val="on"/>
        </w:trPr>
        <w:tc>
          <w:tcPr>
            <w:tcBorders>
              <w:bottom w:val="single" w:sz="8" w:space="0" w:color="auto"/>
            </w:tcBorders>
            <w:vAlign w:val="center"/>
          </w:tcPr>
          <w:p>
            <w:pPr>
              <w:pStyle w:val="Compact"/>
              <w:suppressAutoHyphens/>
              <w:jc w:val="center"/>
            </w:pPr>
            <w:r>
              <w:rPr>
                <w:b/>
                <w:sz w:val="18"/>
                <w:szCs w:val="18"/>
              </w:rPr>
              <w:t xml:space="preserve">Knob</w:t>
            </w:r>
          </w:p>
        </w:tc>
        <w:tc>
          <w:tcPr>
            <w:tcBorders>
              <w:bottom w:val="single" w:sz="8" w:space="0" w:color="auto"/>
            </w:tcBorders>
            <w:vAlign w:val="center"/>
          </w:tcPr>
          <w:p>
            <w:pPr>
              <w:pStyle w:val="Compact"/>
              <w:suppressAutoHyphens/>
              <w:jc w:val="center"/>
            </w:pPr>
            <w:r>
              <w:rPr>
                <w:b/>
                <w:sz w:val="18"/>
                <w:szCs w:val="18"/>
              </w:rPr>
              <w:t xml:space="preserve">Production value</w:t>
            </w:r>
          </w:p>
        </w:tc>
        <w:tc>
          <w:tcPr>
            <w:tcBorders>
              <w:bottom w:val="single" w:sz="8" w:space="0" w:color="auto"/>
            </w:tcBorders>
            <w:vAlign w:val="center"/>
          </w:tcPr>
          <w:p>
            <w:pPr>
              <w:pStyle w:val="Compact"/>
              <w:suppressAutoHyphens/>
              <w:jc w:val="center"/>
            </w:pPr>
            <w:r>
              <w:rPr>
                <w:b/>
                <w:sz w:val="18"/>
                <w:szCs w:val="18"/>
              </w:rPr>
              <w:t xml:space="preserve">Justified by</w:t>
            </w:r>
          </w:p>
        </w:tc>
      </w:tr>
      <w:tr>
        <w:tc>
          <w:tcPr>
            <w:vAlign w:val="center"/>
          </w:tcPr>
          <w:p>
            <w:pPr>
              <w:pStyle w:val="Compact"/>
              <w:suppressAutoHyphens/>
              <w:jc w:val="center"/>
            </w:pPr>
            <w:r>
              <w:rPr>
                <w:sz w:val="18"/>
                <w:szCs w:val="18"/>
              </w:rPr>
              <w:t xml:space="preserve">Generative model</w:t>
            </w:r>
          </w:p>
        </w:tc>
        <w:tc>
          <w:tcPr>
            <w:vAlign w:val="center"/>
          </w:tcPr>
          <w:p>
            <w:pPr>
              <w:pStyle w:val="Compact"/>
              <w:suppressAutoHyphens/>
              <w:jc w:val="center"/>
            </w:pPr>
            <w:r>
              <w:rPr>
                <w:sz w:val="18"/>
                <w:szCs w:val="18"/>
              </w:rPr>
              <w:t xml:space="preserve">LIMO VAE + conditional latent DDPM with classifier-free guidance</w:t>
            </w:r>
          </w:p>
        </w:tc>
        <w:tc>
          <w:tcPr>
            <w:vAlign w:val="center"/>
          </w:tcPr>
          <w:p>
            <w:pPr>
              <w:pStyle w:val="Compact"/>
              <w:suppressAutoHyphens/>
              <w:jc w:val="center"/>
            </w:pPr>
            <w:r>
              <w:rPr>
                <w:sz w:val="18"/>
                <w:szCs w:val="18"/>
              </w:rPr>
              <w:t xml:space="preserve">Supplementary Section F.2</w:t>
            </w:r>
          </w:p>
        </w:tc>
      </w:tr>
      <w:tr>
        <w:tc>
          <w:tcPr>
            <w:vAlign w:val="center"/>
          </w:tcPr>
          <w:p>
            <w:pPr>
              <w:pStyle w:val="Compact"/>
              <w:suppressAutoHyphens/>
              <w:jc w:val="center"/>
            </w:pPr>
            <w:r>
              <w:rPr>
                <w:sz w:val="18"/>
                <w:szCs w:val="18"/>
              </w:rPr>
              <w:t xml:space="preserve">Denoiser ensemble</w:t>
            </w:r>
          </w:p>
        </w:tc>
        <w:tc>
          <w:tcPr>
            <w:vAlign w:val="center"/>
          </w:tcPr>
          <w:p>
            <w:pPr>
              <w:pStyle w:val="Compact"/>
              <w:suppressAutoHyphens/>
              <w:jc w:val="center"/>
            </w:pPr>
            <w:r>
              <w:rPr>
                <w:sz w:val="18"/>
                <w:szCs w:val="18"/>
              </w:rPr>
              <w:t xml:space="preserve">DGLD-H + DGLD-P, pools fused post-decode</w:t>
            </w:r>
          </w:p>
        </w:tc>
        <w:tc>
          <w:tcPr>
            <w:vAlign w:val="center"/>
          </w:tcPr>
          <w:p>
            <w:pPr>
              <w:pStyle w:val="Compact"/>
              <w:suppressAutoHyphens/>
              <w:jc w:val="center"/>
            </w:pPr>
            <w:r>
              <w:rPr>
                <w:sz w:val="18"/>
                <w:szCs w:val="18"/>
              </w:rPr>
              <w:t xml:space="preserve">Section 4.8; Supplementary Section F.4</w:t>
            </w:r>
          </w:p>
        </w:tc>
      </w:tr>
      <w:tr>
        <w:tc>
          <w:tcPr>
            <w:vAlign w:val="center"/>
          </w:tcPr>
          <w:p>
            <w:pPr>
              <w:pStyle w:val="Compact"/>
              <w:suppressAutoHyphens/>
              <w:jc w:val="center"/>
            </w:pPr>
            <w:r>
              <w:rPr>
                <w:sz w:val="18"/>
                <w:szCs w:val="18"/>
              </w:rPr>
              <w:t xml:space="preserve">CFG scale w</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Section 4.15, Fig 23</w:t>
            </w:r>
          </w:p>
        </w:tc>
      </w:tr>
      <w:tr>
        <w:tc>
          <w:tcPr>
            <w:vAlign w:val="center"/>
          </w:tcPr>
          <w:p>
            <w:pPr>
              <w:pStyle w:val="Compact"/>
              <w:suppressAutoHyphens/>
              <w:jc w:val="center"/>
            </w:pPr>
            <w:r>
              <w:rPr>
                <w:sz w:val="18"/>
                <w:szCs w:val="18"/>
              </w:rPr>
              <w:t xml:space="preserve">DDIM steps</w:t>
            </w:r>
          </w:p>
        </w:tc>
        <w:tc>
          <w:tcPr>
            <w:vAlign w:val="center"/>
          </w:tcPr>
          <w:p>
            <w:pPr>
              <w:pStyle w:val="Compact"/>
              <w:suppressAutoHyphens/>
              <w:jc w:val="center"/>
            </w:pPr>
            <w:r>
              <w:rPr>
                <w:sz w:val="18"/>
                <w:szCs w:val="18"/>
              </w:rPr>
              <w:t xml:space="preserve">40</w:t>
            </w:r>
          </w:p>
        </w:tc>
        <w:tc>
          <w:tcPr>
            <w:vAlign w:val="center"/>
          </w:tcPr>
          <w:p>
            <w:pPr>
              <w:pStyle w:val="Compact"/>
              <w:suppressAutoHyphens/>
              <w:jc w:val="center"/>
            </w:pPr>
            <w:r>
              <w:rPr>
                <w:sz w:val="18"/>
                <w:szCs w:val="18"/>
              </w:rPr>
              <w:t xml:space="preserve">prior-art default; not separately swept</w:t>
            </w:r>
          </w:p>
        </w:tc>
      </w:tr>
      <w:tr>
        <w:tc>
          <w:tcPr>
            <w:vAlign w:val="center"/>
          </w:tcPr>
          <w:p>
            <w:pPr>
              <w:pStyle w:val="Compact"/>
              <w:suppressAutoHyphens/>
              <w:jc w:val="center"/>
            </w:pPr>
            <w:r>
              <w:rPr>
                <w:sz w:val="18"/>
                <w:szCs w:val="18"/>
              </w:rPr>
              <w:t xml:space="preserve">Pool size</w:t>
            </w:r>
          </w:p>
        </w:tc>
        <w:tc>
          <w:tcPr>
            <w:vAlign w:val="center"/>
          </w:tcPr>
          <w:p>
            <w:pPr>
              <w:pStyle w:val="Compact"/>
              <w:suppressAutoHyphens/>
              <w:jc w:val="center"/>
            </w:pPr>
            <m:oMath>
              <m:r>
                <w:rPr>
                  <w:sz w:val="18"/>
                  <w:szCs w:val="18"/>
                </w:rPr>
                <m:rPr>
                  <m:sty m:val="p"/>
                </m:rPr>
                <m:t>≥</m:t>
              </m:r>
            </m:oMath>
            <w:r>
              <w:rPr>
                <w:sz w:val="18"/>
                <w:szCs w:val="18"/>
              </w:rPr>
              <w:t xml:space="preserve"> </w:t>
            </w:r>
            <w:r>
              <w:rPr>
                <w:sz w:val="18"/>
                <w:szCs w:val="18"/>
              </w:rPr>
              <w:t xml:space="preserve">40k per denoiser, fused</w:t>
            </w:r>
          </w:p>
        </w:tc>
        <w:tc>
          <w:tcPr>
            <w:vAlign w:val="center"/>
          </w:tcPr>
          <w:p>
            <w:pPr>
              <w:pStyle w:val="Compact"/>
              <w:suppressAutoHyphens/>
              <w:jc w:val="center"/>
            </w:pPr>
            <w:r>
              <w:rPr>
                <w:sz w:val="18"/>
                <w:szCs w:val="18"/>
              </w:rPr>
              <w:t xml:space="preserve">Supplementary Section F.5; Section 4.15, Fig 24</w:t>
            </w:r>
          </w:p>
        </w:tc>
      </w:tr>
      <w:tr>
        <w:tc>
          <w:tcPr>
            <w:vAlign w:val="center"/>
          </w:tcPr>
          <w:p>
            <w:pPr>
              <w:pStyle w:val="Compact"/>
              <w:suppressAutoHyphens/>
              <w:jc w:val="center"/>
            </w:pPr>
            <w:r>
              <w:rPr>
                <w:sz w:val="18"/>
                <w:szCs w:val="18"/>
              </w:rPr>
              <w:t xml:space="preserve">Score-model training</w:t>
            </w:r>
          </w:p>
        </w:tc>
        <w:tc>
          <w:tcPr>
            <w:vAlign w:val="center"/>
          </w:tcPr>
          <w:p>
            <w:pPr>
              <w:pStyle w:val="Compact"/>
              <w:suppressAutoHyphens/>
              <w:jc w:val="center"/>
            </w:pPr>
            <w:r>
              <w:rPr>
                <w:sz w:val="18"/>
                <w:szCs w:val="18"/>
              </w:rPr>
              <w:t xml:space="preserve">4-block FiLM-MLP trunk, 6 heads, multi-task</w:t>
            </w:r>
          </w:p>
        </w:tc>
        <w:tc>
          <w:tcPr>
            <w:vAlign w:val="center"/>
          </w:tcPr>
          <w:p>
            <w:pPr>
              <w:pStyle w:val="Compact"/>
              <w:suppressAutoHyphens/>
              <w:jc w:val="center"/>
            </w:pPr>
            <w:r>
              <w:rPr>
                <w:sz w:val="18"/>
                <w:szCs w:val="18"/>
              </w:rPr>
              <w:t xml:space="preserve">Section 4.10; Supplementary Section F.1 (HN budget = 918)</w:t>
            </w:r>
          </w:p>
        </w:tc>
      </w:tr>
      <w:tr>
        <w:tc>
          <w:tcPr>
            <w:vAlign w:val="center"/>
          </w:tcPr>
          <w:p>
            <w:pPr>
              <w:pStyle w:val="Compact"/>
              <w:suppressAutoHyphens/>
              <w:jc w:val="center"/>
            </w:pPr>
            <w:r>
              <w:rPr>
                <w:sz w:val="18"/>
                <w:szCs w:val="18"/>
              </w:rPr>
              <w:t xml:space="preserve">Active steering heads</w:t>
            </w:r>
          </w:p>
        </w:tc>
        <w:tc>
          <w:tcPr>
            <w:vAlign w:val="center"/>
          </w:tcPr>
          <w:p>
            <w:pPr>
              <w:pStyle w:val="Compact"/>
              <w:suppressAutoHyphens/>
              <w:jc w:val="center"/>
            </w:pPr>
            <w:r>
              <w:rPr>
                <w:sz w:val="18"/>
                <w:szCs w:val="18"/>
              </w:rPr>
              <w:t xml:space="preserve">Viability (</w:t>
            </w:r>
            <m:oMath>
              <m:r>
                <w:rPr>
                  <w:sz w:val="18"/>
                  <w:szCs w:val="18"/>
                </w:rPr>
                <m:t>s</m:t>
              </m:r>
              <m:r>
                <w:rPr>
                  <w:sz w:val="18"/>
                  <w:szCs w:val="18"/>
                </w:rPr>
                <m:rPr>
                  <m:sty m:val="p"/>
                </m:rPr>
                <m:t>=</m:t>
              </m:r>
              <m:r>
                <w:rPr>
                  <w:sz w:val="18"/>
                  <w:szCs w:val="18"/>
                </w:rPr>
                <m:t>1.0</m:t>
              </m:r>
            </m:oMath>
            <w:r>
              <w:rPr>
                <w:sz w:val="18"/>
                <w:szCs w:val="18"/>
              </w:rPr>
              <w:t xml:space="preserve">), Sensitivity (</w:t>
            </w:r>
            <m:oMath>
              <m:r>
                <w:rPr>
                  <w:sz w:val="18"/>
                  <w:szCs w:val="18"/>
                </w:rPr>
                <m:t>s</m:t>
              </m:r>
              <m:r>
                <w:rPr>
                  <w:sz w:val="18"/>
                  <w:szCs w:val="18"/>
                </w:rPr>
                <m:rPr>
                  <m:sty m:val="p"/>
                </m:rPr>
                <m:t>=</m:t>
              </m:r>
              <m:r>
                <w:rPr>
                  <w:sz w:val="18"/>
                  <w:szCs w:val="18"/>
                </w:rPr>
                <m:t>0.3</m:t>
              </m:r>
            </m:oMath>
            <w:r>
              <w:rPr>
                <w:sz w:val="18"/>
                <w:szCs w:val="18"/>
              </w:rPr>
              <w:t xml:space="preserve">), Hazard (</w:t>
            </w:r>
            <m:oMath>
              <m:r>
                <w:rPr>
                  <w:sz w:val="18"/>
                  <w:szCs w:val="18"/>
                </w:rPr>
                <m:t>s</m:t>
              </m:r>
              <m:r>
                <w:rPr>
                  <w:sz w:val="18"/>
                  <w:szCs w:val="18"/>
                </w:rPr>
                <m:rPr>
                  <m:sty m:val="p"/>
                </m: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Supplementary Section F.3, Supplementary Section F.4</w:t>
            </w:r>
          </w:p>
        </w:tc>
      </w:tr>
      <w:tr>
        <w:tc>
          <w:tcPr>
            <w:vAlign w:val="center"/>
          </w:tcPr>
          <w:p>
            <w:pPr>
              <w:pStyle w:val="Compact"/>
              <w:suppressAutoHyphens/>
              <w:jc w:val="center"/>
            </w:pPr>
            <w:r>
              <w:rPr>
                <w:sz w:val="18"/>
                <w:szCs w:val="18"/>
              </w:rPr>
              <w:t xml:space="preserve">Inactive heads</w:t>
            </w:r>
          </w:p>
        </w:tc>
        <w:tc>
          <w:tcPr>
            <w:vAlign w:val="center"/>
          </w:tcPr>
          <w:p>
            <w:pPr>
              <w:pStyle w:val="Compact"/>
              <w:suppressAutoHyphens/>
              <w:jc w:val="center"/>
            </w:pPr>
            <w:r>
              <w:rPr>
                <w:sz w:val="18"/>
                <w:szCs w:val="18"/>
              </w:rPr>
              <w:t xml:space="preserve">Performance, SA, SC (auxiliary multi-task only)</w:t>
            </w:r>
          </w:p>
        </w:tc>
        <w:tc>
          <w:tcPr>
            <w:vAlign w:val="center"/>
          </w:tcPr>
          <w:p>
            <w:pPr>
              <w:pStyle w:val="Compact"/>
              <w:suppressAutoHyphens/>
              <w:jc w:val="center"/>
            </w:pPr>
            <w:r>
              <w:rPr>
                <w:sz w:val="18"/>
                <w:szCs w:val="18"/>
              </w:rPr>
              <w:t xml:space="preserve">Supplementary Section F.4</w:t>
            </w:r>
          </w:p>
        </w:tc>
      </w:tr>
      <w:tr>
        <w:tc>
          <w:tcPr>
            <w:vAlign w:val="center"/>
          </w:tcPr>
          <w:p>
            <w:pPr>
              <w:pStyle w:val="Compact"/>
              <w:suppressAutoHyphens/>
              <w:jc w:val="center"/>
            </w:pPr>
            <w:r>
              <w:rPr>
                <w:sz w:val="18"/>
                <w:szCs w:val="18"/>
              </w:rPr>
              <w:t xml:space="preserve">Anneal / clamp</w:t>
            </w:r>
          </w:p>
        </w:tc>
        <w:tc>
          <w:tcPr>
            <w:vAlign w:val="center"/>
          </w:tcPr>
          <w:p>
            <w:pPr>
              <w:pStyle w:val="Compact"/>
              <w:suppressAutoHyphens/>
              <w:jc w:val="center"/>
            </w:pPr>
            <m:oMath>
              <m:sSub>
                <m:e>
                  <m:r>
                    <w:rPr>
                      <w:sz w:val="18"/>
                      <w:szCs w:val="18"/>
                    </w:rPr>
                    <m:t>σ</m:t>
                  </m:r>
                </m:e>
                <m:sub>
                  <m:r>
                    <w:rPr>
                      <w:sz w:val="18"/>
                      <w:szCs w:val="18"/>
                    </w:rPr>
                    <m:rPr>
                      <m:sty m:val="p"/>
                    </m:rPr>
                    <m:t>max</m:t>
                  </m:r>
                </m:sub>
              </m:sSub>
              <m:r>
                <w:rPr>
                  <w:sz w:val="18"/>
                  <w:szCs w:val="18"/>
                </w:rPr>
                <m:rPr>
                  <m:sty m:val="p"/>
                </m:rPr>
                <m:t>=</m:t>
              </m:r>
              <m:r>
                <w:rPr>
                  <w:sz w:val="18"/>
                  <w:szCs w:val="18"/>
                </w:rPr>
                <m:t>0</m:t>
              </m:r>
            </m:oMath>
            <w:r>
              <w:rPr>
                <w:sz w:val="18"/>
                <w:szCs w:val="18"/>
              </w:rPr>
              <w:t xml:space="preserve">,</w:t>
            </w:r>
            <w:r>
              <w:rPr>
                <w:sz w:val="18"/>
                <w:szCs w:val="18"/>
              </w:rPr>
              <w:t xml:space="preserve"> </w:t>
            </w:r>
            <m:oMath>
              <m:sSub>
                <m:e>
                  <m:r>
                    <w:rPr>
                      <w:sz w:val="18"/>
                      <w:szCs w:val="18"/>
                    </w:rPr>
                    <m:t>C</m:t>
                  </m:r>
                </m:e>
                <m:sub>
                  <m:r>
                    <w:rPr>
                      <w:sz w:val="18"/>
                      <w:szCs w:val="18"/>
                    </w:rPr>
                    <m:t>g</m:t>
                  </m:r>
                </m:sub>
              </m:sSub>
              <m:r>
                <w:rPr>
                  <w:sz w:val="18"/>
                  <w:szCs w:val="18"/>
                </w:rPr>
                <m:rPr>
                  <m:sty m:val="p"/>
                </m:rPr>
                <m:t>=</m:t>
              </m:r>
              <m:r>
                <w:rPr>
                  <w:sz w:val="18"/>
                  <w:szCs w:val="18"/>
                </w:rPr>
                <m:t>50</m:t>
              </m:r>
            </m:oMath>
          </w:p>
        </w:tc>
        <w:tc>
          <w:tcPr>
            <w:vAlign w:val="center"/>
          </w:tcPr>
          <w:p>
            <w:pPr>
              <w:pStyle w:val="Compact"/>
              <w:suppressAutoHyphens/>
              <w:jc w:val="center"/>
            </w:pPr>
            <w:r>
              <w:rPr>
                <w:sz w:val="18"/>
                <w:szCs w:val="18"/>
              </w:rPr>
              <w:t xml:space="preserve">Section 4.12; Supplementary Section D.5</w:t>
            </w:r>
          </w:p>
        </w:tc>
      </w:tr>
      <w:tr>
        <w:tc>
          <w:tcPr>
            <w:vAlign w:val="center"/>
          </w:tcPr>
          <w:p>
            <w:pPr>
              <w:pStyle w:val="Compact"/>
              <w:suppressAutoHyphens/>
              <w:jc w:val="center"/>
            </w:pPr>
            <w:r>
              <w:rPr>
                <w:sz w:val="18"/>
                <w:szCs w:val="18"/>
              </w:rPr>
              <w:t xml:space="preserve">Filter Stage 1</w:t>
            </w:r>
          </w:p>
        </w:tc>
        <w:tc>
          <w:tcPr>
            <w:vAlign w:val="center"/>
          </w:tcPr>
          <w:p>
            <w:pPr>
              <w:pStyle w:val="Compact"/>
              <w:suppressAutoHyphens/>
              <w:jc w:val="center"/>
            </w:pPr>
            <w:r>
              <w:rPr>
                <w:sz w:val="18"/>
                <w:szCs w:val="18"/>
              </w:rPr>
              <w:t xml:space="preserve">Chemist-curated SMARTS gate</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2</w:t>
            </w:r>
          </w:p>
        </w:tc>
        <w:tc>
          <w:tcPr>
            <w:vAlign w:val="center"/>
          </w:tcPr>
          <w:p>
            <w:pPr>
              <w:pStyle w:val="Compact"/>
              <w:suppressAutoHyphens/>
              <w:jc w:val="center"/>
            </w:pPr>
            <w:r>
              <w:rPr>
                <w:sz w:val="18"/>
                <w:szCs w:val="18"/>
              </w:rPr>
              <w:t xml:space="preserve">Pareto reranker on 4 axes, composite tie-break, top-K = 100</w:t>
            </w:r>
          </w:p>
        </w:tc>
        <w:tc>
          <w:tcPr>
            <w:vAlign w:val="center"/>
          </w:tcPr>
          <w:p>
            <w:pPr>
              <w:pStyle w:val="Compact"/>
              <w:suppressAutoHyphens/>
              <w:jc w:val="center"/>
            </w:pPr>
            <w:r>
              <w:rPr>
                <w:sz w:val="18"/>
                <w:szCs w:val="18"/>
              </w:rPr>
              <w:t xml:space="preserve">Section 4.13</w:t>
            </w:r>
          </w:p>
        </w:tc>
      </w:tr>
      <w:tr>
        <w:tc>
          <w:tcPr>
            <w:vAlign w:val="center"/>
          </w:tcPr>
          <w:p>
            <w:pPr>
              <w:pStyle w:val="Compact"/>
              <w:suppressAutoHyphens/>
              <w:jc w:val="center"/>
            </w:pPr>
            <w:r>
              <w:rPr>
                <w:sz w:val="18"/>
                <w:szCs w:val="18"/>
              </w:rPr>
              <w:t xml:space="preserve">Filter Stage 3</w:t>
            </w:r>
          </w:p>
        </w:tc>
        <w:tc>
          <w:tcPr>
            <w:vAlign w:val="center"/>
          </w:tcPr>
          <w:p>
            <w:pPr>
              <w:pStyle w:val="Compact"/>
              <w:suppressAutoHyphens/>
              <w:jc w:val="center"/>
            </w:pPr>
            <w:r>
              <w:rPr>
                <w:sz w:val="18"/>
                <w:szCs w:val="18"/>
              </w:rPr>
              <w:t xml:space="preserve">GFN2-xTB, HOMO–LUMO gap</w:t>
            </w:r>
            <w:r>
              <w:rPr>
                <w:sz w:val="18"/>
                <w:szCs w:val="18"/>
              </w:rPr>
              <w:t xml:space="preserve"> </w:t>
            </w:r>
            <m:oMath>
              <m:r>
                <w:rPr>
                  <w:sz w:val="18"/>
                  <w:szCs w:val="18"/>
                </w:rPr>
                <m:rPr>
                  <m:sty m:val="p"/>
                </m:rPr>
                <m:t>≥</m:t>
              </m:r>
            </m:oMath>
            <w:r>
              <w:rPr>
                <w:sz w:val="18"/>
                <w:szCs w:val="18"/>
              </w:rPr>
              <w:t xml:space="preserve"> </w:t>
            </w:r>
            <w:r>
              <w:rPr>
                <w:sz w:val="18"/>
                <w:szCs w:val="18"/>
              </w:rPr>
              <w:t xml:space="preserve">1.5 eV</w:t>
            </w:r>
          </w:p>
        </w:tc>
        <w:tc>
          <w:tcPr>
            <w:vAlign w:val="center"/>
          </w:tcPr>
          <w:p>
            <w:pPr>
              <w:pStyle w:val="Compact"/>
              <w:suppressAutoHyphens/>
              <w:jc w:val="center"/>
            </w:pPr>
            <w:r>
              <w:rPr>
                <w:sz w:val="18"/>
                <w:szCs w:val="18"/>
              </w:rPr>
              <w:t xml:space="preserve">Section 4.13; chemist-set threshold</w:t>
            </w:r>
          </w:p>
        </w:tc>
      </w:tr>
      <w:tr>
        <w:tc>
          <w:tcPr>
            <w:vAlign w:val="center"/>
          </w:tcPr>
          <w:p>
            <w:pPr>
              <w:pStyle w:val="Compact"/>
              <w:suppressAutoHyphens/>
              <w:jc w:val="center"/>
            </w:pPr>
            <w:r>
              <w:rPr>
                <w:sz w:val="18"/>
                <w:szCs w:val="18"/>
              </w:rPr>
              <w:t xml:space="preserve">Filter Stage 4 – DFT</w:t>
            </w:r>
          </w:p>
        </w:tc>
        <w:tc>
          <w:tcPr>
            <w:vAlign w:val="center"/>
          </w:tcPr>
          <w:p>
            <w:pPr>
              <w:pStyle w:val="Compact"/>
              <w:suppressAutoHyphens/>
              <w:jc w:val="center"/>
            </w:pPr>
            <w:r>
              <w:rPr>
                <w:sz w:val="18"/>
                <w:szCs w:val="18"/>
              </w:rPr>
              <w:t xml:space="preserve">B3LYP/6-31G(d) opt +</w:t>
            </w:r>
            <w:r>
              <w:rPr>
                <w:sz w:val="18"/>
                <w:szCs w:val="18"/>
              </w:rPr>
              <w:t xml:space="preserve"> </w:t>
            </w:r>
            <m:oMath>
              <m:r>
                <w:rPr>
                  <w:sz w:val="18"/>
                  <w:szCs w:val="18"/>
                </w:rPr>
                <m:t>ω</m:t>
              </m:r>
            </m:oMath>
            <w:r>
              <w:rPr>
                <w:sz w:val="18"/>
                <w:szCs w:val="18"/>
              </w:rPr>
              <w:t xml:space="preserve">B97X-D3BJ/def2-TZVP single-point</w:t>
            </w:r>
          </w:p>
        </w:tc>
        <w:tc>
          <w:tcPr>
            <w:vAlign w:val="center"/>
          </w:tcPr>
          <w:p>
            <w:pPr>
              <w:pStyle w:val="Compact"/>
              <w:suppressAutoHyphens/>
              <w:jc w:val="center"/>
            </w:pPr>
            <w:r>
              <w:rPr>
                <w:sz w:val="18"/>
                <w:szCs w:val="18"/>
              </w:rPr>
              <w:t xml:space="preserve">Section 4.13; Supplementary Section C.1</w:t>
            </w:r>
          </w:p>
        </w:tc>
      </w:tr>
      <w:tr>
        <w:tc>
          <w:tcPr>
            <w:vAlign w:val="center"/>
          </w:tcPr>
          <w:p>
            <w:pPr>
              <w:pStyle w:val="Compact"/>
              <w:suppressAutoHyphens/>
              <w:jc w:val="center"/>
            </w:pPr>
            <w:r>
              <w:rPr>
                <w:sz w:val="18"/>
                <w:szCs w:val="18"/>
              </w:rPr>
              <w:t xml:space="preserve">Filter Stage 4 – calibration</w:t>
            </w:r>
          </w:p>
        </w:tc>
        <w:tc>
          <w:tcPr>
            <w:vAlign w:val="center"/>
          </w:tcPr>
          <w:p>
            <w:pPr>
              <w:pStyle w:val="Compact"/>
              <w:suppressAutoHyphens/>
              <w:jc w:val="center"/>
            </w:pPr>
            <w:r>
              <w:rPr>
                <w:sz w:val="18"/>
                <w:szCs w:val="18"/>
              </w:rPr>
              <w:t xml:space="preserve">6-anchor LOO fit:</w:t>
            </w:r>
            <w:r>
              <w:rPr>
                <w:sz w:val="18"/>
                <w:szCs w:val="18"/>
              </w:rPr>
              <w:t xml:space="preserve"> </w:t>
            </w:r>
            <m:oMath>
              <m:sSub>
                <m:e>
                  <m:r>
                    <w:rPr>
                      <w:sz w:val="18"/>
                      <w:szCs w:val="18"/>
                    </w:rPr>
                    <m:t>ρ</m:t>
                  </m:r>
                </m:e>
                <m:sub>
                  <m:r>
                    <w:rPr>
                      <w:sz w:val="18"/>
                      <w:szCs w:val="18"/>
                    </w:rPr>
                    <m:rPr>
                      <m:nor/>
                      <m:sty m:val="p"/>
                    </m:rPr>
                    <m:t>cal</m:t>
                  </m:r>
                </m:sub>
              </m:sSub>
              <m:r>
                <w:rPr>
                  <w:sz w:val="18"/>
                  <w:szCs w:val="18"/>
                </w:rPr>
                <m:rPr>
                  <m:sty m:val="p"/>
                </m:rPr>
                <m:t>=</m:t>
              </m:r>
              <m:r>
                <w:rPr>
                  <w:sz w:val="18"/>
                  <w:szCs w:val="18"/>
                </w:rPr>
                <m:t>1.392</m:t>
              </m:r>
              <m:r>
                <w:rPr>
                  <w:sz w:val="18"/>
                  <w:szCs w:val="18"/>
                </w:rPr>
                <m:t> </m:t>
              </m:r>
              <m:sSub>
                <m:e>
                  <m:r>
                    <w:rPr>
                      <w:sz w:val="18"/>
                      <w:szCs w:val="18"/>
                    </w:rPr>
                    <m:t>ρ</m:t>
                  </m:r>
                </m:e>
                <m:sub>
                  <m:r>
                    <w:rPr>
                      <w:sz w:val="18"/>
                      <w:szCs w:val="18"/>
                    </w:rPr>
                    <m:rPr>
                      <m:nor/>
                      <m:sty m:val="p"/>
                    </m:rPr>
                    <m:t>DFT</m:t>
                  </m:r>
                </m:sub>
              </m:sSub>
              <m:r>
                <w:rPr>
                  <w:sz w:val="18"/>
                  <w:szCs w:val="18"/>
                </w:rPr>
                <m:rPr>
                  <m:sty m:val="p"/>
                </m:rPr>
                <m:t>−</m:t>
              </m:r>
              <m:r>
                <w:rPr>
                  <w:sz w:val="18"/>
                  <w:szCs w:val="18"/>
                </w:rPr>
                <m:t>0.415</m:t>
              </m:r>
            </m:oMath>
            <w:r>
              <w:rPr>
                <w:sz w:val="18"/>
                <w:szCs w:val="18"/>
              </w:rPr>
              <w:t xml:space="preserve">, HOF</w:t>
            </w:r>
            <m:oMath>
              <m:sSub>
                <m:e>
                  <m:r>
                    <w:rPr>
                      <w:sz w:val="18"/>
                      <w:szCs w:val="18"/>
                    </w:rPr>
                    <m:t>​</m:t>
                  </m:r>
                </m:e>
                <m:sub>
                  <m:r>
                    <w:rPr>
                      <w:sz w:val="18"/>
                      <w:szCs w:val="18"/>
                    </w:rPr>
                    <m:rPr>
                      <m:nor/>
                      <m:sty m:val="p"/>
                    </m:rPr>
                    <m:t>cal</m:t>
                  </m:r>
                </m:sub>
              </m:sSub>
            </m:oMath>
            <w:r>
              <w:rPr>
                <w:sz w:val="18"/>
                <w:szCs w:val="18"/>
              </w:rPr>
              <w:t xml:space="preserve"> </w:t>
            </w:r>
            <w:r>
              <w:rPr>
                <w:sz w:val="18"/>
                <w:szCs w:val="18"/>
              </w:rPr>
              <w:t xml:space="preserve">= HOF</w:t>
            </w:r>
            <m:oMath>
              <m:sSub>
                <m:e>
                  <m:r>
                    <w:rPr>
                      <w:sz w:val="18"/>
                      <w:szCs w:val="18"/>
                    </w:rPr>
                    <m:t>​</m:t>
                  </m:r>
                </m:e>
                <m:sub>
                  <m:r>
                    <w:rPr>
                      <w:sz w:val="18"/>
                      <w:szCs w:val="18"/>
                    </w:rPr>
                    <m:rPr>
                      <m:nor/>
                      <m:sty m:val="p"/>
                    </m:rPr>
                    <m:t>DFT</m:t>
                  </m:r>
                </m:sub>
              </m:sSub>
              <m:r>
                <w:rPr>
                  <w:sz w:val="18"/>
                  <w:szCs w:val="18"/>
                </w:rPr>
                <m:rPr>
                  <m:sty m:val="p"/>
                </m:rPr>
                <m:t>−</m:t>
              </m:r>
              <m:r>
                <w:rPr>
                  <w:sz w:val="18"/>
                  <w:szCs w:val="18"/>
                </w:rPr>
                <m:t>206.7</m:t>
              </m:r>
            </m:oMath>
          </w:p>
        </w:tc>
        <w:tc>
          <w:tcPr>
            <w:vAlign w:val="center"/>
          </w:tcPr>
          <w:p>
            <w:pPr>
              <w:pStyle w:val="Compact"/>
              <w:suppressAutoHyphens/>
              <w:jc w:val="center"/>
            </w:pPr>
            <w:r>
              <w:rPr>
                <w:sz w:val="18"/>
                <w:szCs w:val="18"/>
              </w:rPr>
              <w:t xml:space="preserve">Section 2.3; Supplementary Section C.4</w:t>
            </w:r>
          </w:p>
        </w:tc>
      </w:tr>
      <w:tr>
        <w:tc>
          <w:tcPr>
            <w:vAlign w:val="center"/>
          </w:tcPr>
          <w:p>
            <w:pPr>
              <w:pStyle w:val="Compact"/>
              <w:suppressAutoHyphens/>
              <w:jc w:val="center"/>
            </w:pPr>
            <w:r>
              <w:rPr>
                <w:sz w:val="18"/>
                <w:szCs w:val="18"/>
              </w:rPr>
              <w:t xml:space="preserve">Filter Stage 4 – K-J recompute</w:t>
            </w:r>
          </w:p>
        </w:tc>
        <w:tc>
          <w:tcPr>
            <w:vAlign w:val="center"/>
          </w:tcPr>
          <w:p>
            <w:pPr>
              <w:pStyle w:val="Compact"/>
              <w:suppressAutoHyphens/>
              <w:jc w:val="center"/>
            </w:pPr>
            <w:r>
              <w:rPr>
                <w:sz w:val="18"/>
                <w:szCs w:val="18"/>
              </w:rPr>
              <w:t xml:space="preserve">Closed-form K-J on calibrated</w:t>
            </w:r>
            <w:r>
              <w:rPr>
                <w:sz w:val="18"/>
                <w:szCs w:val="18"/>
              </w:rPr>
              <w:t xml:space="preserve"> </w:t>
            </w:r>
            <m:oMath>
              <m:r>
                <w:rPr>
                  <w:sz w:val="18"/>
                  <w:szCs w:val="18"/>
                </w:rPr>
                <m:rPr>
                  <m:sty m:val="p"/>
                </m:rPr>
                <m:t>(</m:t>
              </m:r>
              <m:sSub>
                <m:e>
                  <m:r>
                    <w:rPr>
                      <w:sz w:val="18"/>
                      <w:szCs w:val="18"/>
                    </w:rPr>
                    <m:t>ρ</m:t>
                  </m:r>
                </m:e>
                <m:sub>
                  <m:r>
                    <w:rPr>
                      <w:sz w:val="18"/>
                      <w:szCs w:val="18"/>
                    </w:rPr>
                    <m:rPr>
                      <m:nor/>
                      <m:sty m:val="p"/>
                    </m:rPr>
                    <m:t>cal</m:t>
                  </m:r>
                </m:sub>
              </m:sSub>
              <m:r>
                <w:rPr>
                  <w:sz w:val="18"/>
                  <w:szCs w:val="18"/>
                </w:rPr>
                <m:rPr>
                  <m:sty m:val="p"/>
                </m:rPr>
                <m:t>,</m:t>
              </m:r>
              <m:sSub>
                <m:e>
                  <m:r>
                    <w:rPr>
                      <w:sz w:val="18"/>
                      <w:szCs w:val="18"/>
                    </w:rPr>
                    <m:rPr>
                      <m:nor/>
                      <m:sty m:val="p"/>
                    </m:rPr>
                    <m:t>HOF</m:t>
                  </m:r>
                </m:e>
                <m:sub>
                  <m:r>
                    <w:rPr>
                      <w:sz w:val="18"/>
                      <w:szCs w:val="18"/>
                    </w:rPr>
                    <m:rPr>
                      <m:nor/>
                      <m:sty m:val="p"/>
                    </m:rPr>
                    <m:t>cal</m:t>
                  </m:r>
                </m:sub>
              </m:sSub>
              <m:r>
                <w:rPr>
                  <w:sz w:val="18"/>
                  <w:szCs w:val="18"/>
                </w:rPr>
                <m:rPr>
                  <m:sty m:val="p"/>
                </m:rPr>
                <m:t>)</m:t>
              </m:r>
            </m:oMath>
            <w:r>
              <w:rPr>
                <w:sz w:val="18"/>
                <w:szCs w:val="18"/>
              </w:rPr>
              <w:t xml:space="preserve">; ranking-grade only</w:t>
            </w:r>
          </w:p>
        </w:tc>
        <w:tc>
          <w:tcPr>
            <w:vAlign w:val="center"/>
          </w:tcPr>
          <w:p>
            <w:pPr>
              <w:pStyle w:val="Compact"/>
              <w:suppressAutoHyphens/>
              <w:jc w:val="center"/>
            </w:pPr>
            <w:r>
              <w:rPr>
                <w:sz w:val="18"/>
                <w:szCs w:val="18"/>
              </w:rPr>
              <w:t xml:space="preserve">Section 2.3; Supplementary Section C.5</w:t>
            </w:r>
          </w:p>
        </w:tc>
      </w:tr>
      <w:tr>
        <w:tc>
          <w:tcPr>
            <w:vAlign w:val="center"/>
          </w:tcPr>
          <w:p>
            <w:pPr>
              <w:pStyle w:val="Compact"/>
              <w:suppressAutoHyphens/>
              <w:jc w:val="center"/>
            </w:pPr>
            <w:r>
              <w:rPr>
                <w:sz w:val="18"/>
                <w:szCs w:val="18"/>
              </w:rPr>
              <w:t xml:space="preserve">Reranker property scoring</w:t>
            </w:r>
          </w:p>
        </w:tc>
        <w:tc>
          <w:tcPr>
            <w:vAlign w:val="center"/>
          </w:tcPr>
          <w:p>
            <w:pPr>
              <w:pStyle w:val="Compact"/>
              <w:suppressAutoHyphens/>
              <w:jc w:val="center"/>
            </w:pPr>
            <w:r>
              <w:rPr>
                <w:rStyle w:val="VerbatimChar"/>
                <w:sz w:val="18"/>
                <w:szCs w:val="18"/>
              </w:rPr>
              <w:t xml:space="preserve">perf_score(\(\rho\), HOF, \(D\), \(P\))</w:t>
            </w:r>
            <w:r>
              <w:rPr>
                <w:sz w:val="18"/>
                <w:szCs w:val="18"/>
              </w:rPr>
              <w:t xml:space="preserve"> </w:t>
            </w:r>
            <w:r>
              <w:rPr>
                <w:sz w:val="18"/>
                <w:szCs w:val="18"/>
              </w:rPr>
              <w:t xml:space="preserve">ramp on Uni-Mol smoke ensemble outputs</w:t>
            </w:r>
          </w:p>
        </w:tc>
        <w:tc>
          <w:tcPr>
            <w:vAlign w:val="center"/>
          </w:tcPr>
          <w:p>
            <w:pPr>
              <w:pStyle w:val="Compact"/>
              <w:suppressAutoHyphens/>
              <w:jc w:val="center"/>
            </w:pPr>
            <w:r>
              <w:rPr>
                <w:sz w:val="18"/>
                <w:szCs w:val="18"/>
              </w:rPr>
              <w:t xml:space="preserve">Section 4.13</w:t>
            </w:r>
          </w:p>
        </w:tc>
      </w:tr>
    </w:tbl>
    <w:p>
      <w:pPr>
        <w:pStyle w:val="MDPI22heading2"/>
        <w:ind w:left="2608"/>
      </w:pPr>
      <w:r>
        <w:t xml:space="preserve">C. First-principles audit (DFT) methodology and uncertainty bounds</w:t>
      </w:r>
    </w:p>
    <w:p>
      <w:pPr>
        <w:pStyle w:val="MDPI18keywords"/>
        <w:ind w:left="2608"/>
      </w:pPr>
      <w:r>
        <w:t xml:space="preserve">This appendix collects the DFT-methodology details that support Section 2.3 (per-lead validation and anchor calibration). Body Section 2.3 reports only the result table; readers who want to assess the methodology choices, the systematic-bias bands, and the calibration-extension recommendations should refer to this appendix.</w:t>
      </w:r>
    </w:p>
    <w:p>
      <w:pPr>
        <w:pStyle w:val="MDPI18keywords"/>
        <w:ind w:left="2608"/>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[5]</w:t>
        </w:r>
      </w:hyperlink>
      <w:r>
        <w:t xml:space="preserve"> </w:t>
      </w:r>
      <w:r>
        <w:t xml:space="preserve">use the same level for the Uni-Mol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 mol</w:t>
      </w:r>
      <w:r>
        <w:rPr>
          <w:vertAlign w:val="superscript"/>
        </w:rPr>
        <w:t xml:space="preserve">−1</w:t>
      </w:r>
      <w:r>
        <w:t xml:space="preserve"> </w:t>
      </w:r>
      <w:r>
        <w:t xml:space="preserve">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MDPI18keywords"/>
        <w:ind w:left="2608"/>
      </w:pPr>
      <w:r>
        <w:rPr>
          <w:b/>
          <w:bCs/>
        </w:rPr>
        <w:t xml:space="preserve">C.2 Thermal correction to 298 K.</w:t>
      </w:r>
      <w:r>
        <w:t xml:space="preserve"> </w:t>
      </w:r>
      <w:r>
        <w:t xml:space="preserve">All HOFs in Section 2.3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 mol</w:t>
      </w:r>
      <w:r>
        <w:rPr>
          <w:vertAlign w:val="superscript"/>
        </w:rPr>
        <w:t xml:space="preserve">−1</w:t>
      </w:r>
      <w:r>
        <w:t xml:space="preserve">)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 mol</w:t>
      </w:r>
      <w:r>
        <w:rPr>
          <w:vertAlign w:val="superscript"/>
        </w:rPr>
        <w:t xml:space="preserve">−1</w:t>
      </w:r>
      <w:r>
        <w:t xml:space="preserve">).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 mol</w:t>
      </w:r>
      <w:r>
        <w:rPr>
          <w:vertAlign w:val="superscript"/>
        </w:rPr>
        <w:t xml:space="preserve">−1</w:t>
      </w:r>
      <w:r>
        <w:t xml:space="preserve">, smaller than the</w:t>
      </w:r>
      <w:r>
        <w:t xml:space="preserve"> </w:t>
      </w:r>
      <m:oMath>
        <m:r>
          <m:rPr>
            <m:sty m:val="p"/>
          </m:rPr>
          <m:t>±</m:t>
        </m:r>
        <m:r>
          <m:t>64.6</m:t>
        </m:r>
      </m:oMath>
      <w:r>
        <w:t xml:space="preserve"> kJ mol</w:t>
      </w:r>
      <w:r>
        <w:rPr>
          <w:vertAlign w:val="superscript"/>
        </w:rPr>
        <w:t xml:space="preserve">−1</w:t>
      </w:r>
      <w:r>
        <w:t xml:space="preserve"> </w:t>
      </w:r>
      <w:r>
        <w:t xml:space="preserve">LOO uncertainty from the 6-anchor calibration of the atomization energy (C.4). We report 0 K HOFs throughout for consistency; converting to 298 K standard HOF would shift values uniformly by ~10–25 kJ mol</w:t>
      </w:r>
      <w:r>
        <w:rPr>
          <w:vertAlign w:val="superscript"/>
        </w:rPr>
        <w:t xml:space="preserve">−1</w:t>
      </w:r>
      <w:r>
        <w:t xml:space="preserve"> </w:t>
      </w:r>
      <w:r>
        <w:t xml:space="preserve">with no impact on relative rankings or the K-J residual.</w:t>
      </w:r>
    </w:p>
    <w:p>
      <w:pPr>
        <w:pStyle w:val="MDPI18keywords"/>
        <w:ind w:left="2608"/>
      </w:pPr>
      <w:r>
        <w:rPr>
          <w:b/>
          <w:bCs/>
        </w:rPr>
        <w:t xml:space="preserve">C.3 Calibration uncertainty: literature bias bands.</w:t>
      </w:r>
      <w:r>
        <w:t xml:space="preserve"> </w:t>
      </w:r>
      <w:r>
        <w:t xml:space="preserve">The 6-anchor LOO RMS quoted in Section 2.3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[13]</w:t>
        </w:r>
      </w:hyperlink>
      <w:r>
        <w:t xml:space="preserve"> </w:t>
      </w:r>
      <w:r>
        <w:t xml:space="preserve">place the systematic atomization-energy bias of B3LYP with a double-zeta polarised basis at approximately 5–15 kJ mol</w:t>
      </w:r>
      <w:r>
        <w:rPr>
          <w:vertAlign w:val="superscript"/>
        </w:rPr>
        <w:t xml:space="preserve">−1</w:t>
      </w:r>
      <w:r>
        <w:t xml:space="preserve"> </w:t>
      </w:r>
      <w:r>
        <w:t xml:space="preserve">per atom, which scales to</w:t>
      </w:r>
      <w:r>
        <w:t xml:space="preserve"> </w:t>
      </w:r>
      <m:oMath>
        <m:r>
          <m:rPr>
            <m:sty m:val="p"/>
          </m:rPr>
          <m:t>∼</m:t>
        </m:r>
      </m:oMath>
      <w:r>
        <w:t xml:space="preserve">100–250 kJ mol</w:t>
      </w:r>
      <w:r>
        <w:rPr>
          <w:vertAlign w:val="superscript"/>
        </w:rPr>
        <w:t xml:space="preserve">−1</w:t>
      </w:r>
      <w:r>
        <w:t xml:space="preserve"> </w:t>
      </w:r>
      <w:r>
        <w:t xml:space="preserve">at the molecular level for our 15–25-atom leads, consistent with the +170 to +224 kJ mol</w:t>
      </w:r>
      <w:r>
        <w:rPr>
          <w:vertAlign w:val="superscript"/>
        </w:rPr>
        <w:t xml:space="preserve">−1</w:t>
      </w:r>
      <w:r>
        <w:t xml:space="preserve"> </w:t>
      </w:r>
      <w:r>
        <w:t xml:space="preserve">offsets we observe at the RDX/TATB anchors. Casey et al.</w:t>
      </w:r>
      <w:r>
        <w:t xml:space="preserve"> </w:t>
      </w:r>
      <w:hyperlink w:anchor="ref-casey2020prediction">
        <w:r>
          <w:rPr>
            <w:rStyle w:val="Hyperlink"/>
          </w:rPr>
          <w:t xml:space="preserve">[5]</w:t>
        </w:r>
      </w:hyperlink>
      <w:r>
        <w:t xml:space="preserve"> </w:t>
      </w:r>
      <w:r>
        <w:t xml:space="preserve">report B3LYP/6-31G* HOF residuals on a CHNO test set with molecule-level RMSE in the</w:t>
      </w:r>
      <w:r>
        <w:t xml:space="preserve"> </w:t>
      </w:r>
      <m:oMath>
        <m:r>
          <m:rPr>
            <m:sty m:val="p"/>
          </m:rPr>
          <m:t>∼</m:t>
        </m:r>
      </m:oMath>
      <w:r>
        <w:t xml:space="preserve">30–50 kJ mol</w:t>
      </w:r>
      <w:r>
        <w:rPr>
          <w:vertAlign w:val="superscript"/>
        </w:rPr>
        <w:t xml:space="preserve">−1</w:t>
      </w:r>
      <w:r>
        <w:t xml:space="preserve"> </w:t>
      </w:r>
      <w:r>
        <w:t xml:space="preserve">band (</w:t>
      </w:r>
      <m:oMath>
        <m:r>
          <m:rPr>
            <m:sty m:val="p"/>
          </m:rPr>
          <m:t>∼</m:t>
        </m:r>
      </m:oMath>
      <w:r>
        <w:t xml:space="preserve">5–10 kJ mol</w:t>
      </w:r>
      <w:r>
        <w:rPr>
          <w:vertAlign w:val="superscript"/>
        </w:rPr>
        <w:t xml:space="preserve">−1</w:t>
      </w:r>
      <w:r>
        <w:t xml:space="preserve"> </w:t>
      </w:r>
      <w:r>
        <w:t xml:space="preserve">per heavy atom), which is the closest published analogue to our setup and which we adopt as the residual-uncertainty band on calibrated HOFs in Section 2.3. For density, the Bondi van-der-Waals volume estimator</w:t>
      </w:r>
      <w:r>
        <w:t xml:space="preserve"> </w:t>
      </w:r>
      <w:hyperlink w:anchor="ref-bondi1964vdw">
        <w:r>
          <w:rPr>
            <w:rStyle w:val="Hyperlink"/>
          </w:rPr>
          <w:t xml:space="preserve">[14]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 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MDPI18keywords"/>
        <w:ind w:left="2608"/>
      </w:pPr>
      <w:r>
        <w:rPr>
          <w:b/>
          <w:bCs/>
        </w:rPr>
        <w:t xml:space="preserve">C.4 6-anchor calibration (provenance and robustness).</w:t>
      </w:r>
      <w:r>
        <w:t xml:space="preserve"> </w:t>
      </w:r>
      <w:r>
        <w:t xml:space="preserve">The calibration equation and leave-one-out residuals are stated in Table 1 (Section 2.3) and are not repeated here; this note documents their provenance and numerical robustness.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 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 mol</w:t>
      </w:r>
      <w:r>
        <w:rPr>
          <w:vertAlign w:val="superscript"/>
        </w:rPr>
        <w:t xml:space="preserve">−1</w:t>
      </w:r>
      <w:r>
        <w:t xml:space="preserve"> </w:t>
      </w:r>
      <w:r>
        <w:t xml:space="preserve">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a 2-anchor fit (RDX/TATB only) is under-determined, which is why the 6-anchor panel is used. The 6-anchor calibration is the source of truth for Section 2.3; per-anchor fit residuals are tabulated in Supplementary Section C.4. The calibrated DFT numbers in Section 2.3 remain ranking-grade rather than absolute-value-grade, with residual atomization-method uncertainty of approximately 5–15 kJ mol</w:t>
      </w:r>
      <w:r>
        <w:rPr>
          <w:vertAlign w:val="superscript"/>
        </w:rPr>
        <w:t xml:space="preserve">−1</w:t>
      </w:r>
      <w:r>
        <w:t xml:space="preserve"> </w:t>
      </w:r>
      <w:r>
        <w:t xml:space="preserve">per atom for B3LYP/6-31G(d) HOFs (Goerigk and Casey benchmarks). (The TATB experimental HOF = −141 kJ mol</w:t>
      </w:r>
      <w:r>
        <w:rPr>
          <w:vertAlign w:val="superscript"/>
        </w:rPr>
        <w:t xml:space="preserve">−1</w:t>
      </w:r>
      <w:r>
        <w:t xml:space="preserve"> </w:t>
      </w:r>
      <w:r>
        <w:t xml:space="preserve">is the 298 K condensed-phase value; applying HOF_cal = HOF_DFT − 206.7 to our 0 K DFT output (+82.9 kJ mol</w:t>
      </w:r>
      <w:r>
        <w:rPr>
          <w:vertAlign w:val="superscript"/>
        </w:rPr>
        <w:t xml:space="preserve">−1</w:t>
      </w:r>
      <w:r>
        <w:t xml:space="preserve">) gives −123.7 kJ mol</w:t>
      </w:r>
      <w:r>
        <w:rPr>
          <w:vertAlign w:val="superscript"/>
        </w:rPr>
        <w:t xml:space="preserve">−1</w:t>
      </w:r>
      <w:r>
        <w:t xml:space="preserve">, a 17 kJ mol</w:t>
      </w:r>
      <w:r>
        <w:rPr>
          <w:vertAlign w:val="superscript"/>
        </w:rPr>
        <w:t xml:space="preserve">−1</w:t>
      </w:r>
      <w:r>
        <w:t xml:space="preserve"> </w:t>
      </w:r>
      <w:r>
        <w:t xml:space="preserve">residual attributable to the 0 K → 298 K thermal correction not included in the linear offset; this is within the ±64.6 kJ mol</w:t>
      </w:r>
      <w:r>
        <w:rPr>
          <w:vertAlign w:val="superscript"/>
        </w:rPr>
        <w:t xml:space="preserve">−1</w:t>
      </w:r>
      <w:r>
        <w:t xml:space="preserve"> </w:t>
      </w:r>
      <w:r>
        <w:t xml:space="preserve">LOO RMS.)</w:t>
      </w:r>
    </w:p>
    <w:p>
      <w:pPr>
        <w:pStyle w:val="MDPI18keywords"/>
        <w:ind w:left="2608"/>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MDPI41tablecaption"/>
        <w:ind w:left="2608"/>
      </w:pPr>
      <w:r>
        <w:rPr>
          <w:b/>
          <w:bCs/>
        </w:rPr>
        <w:t xml:space="preserve">Table S6.</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S7.</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81"/>
        <w:gridCol w:w="1533"/>
        <w:gridCol w:w="1241"/>
        <w:gridCol w:w="1105"/>
        <w:gridCol w:w="1484"/>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13.4</w:t>
            </w:r>
          </w:p>
        </w:tc>
        <w:tc>
          <w:tcPr>
            <w:vAlign w:val="center"/>
          </w:tcPr>
          <w:p>
            <w:pPr>
              <w:pStyle w:val="Compact"/>
              <w:suppressAutoHyphens/>
              <w:jc w:val="center"/>
            </w:pPr>
            <w:r>
              <w:rPr>
                <w:sz w:val="18"/>
                <w:szCs w:val="18"/>
              </w:rPr>
              <w:t xml:space="preserve">169.7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52.0</w:t>
            </w:r>
          </w:p>
        </w:tc>
        <w:tc>
          <w:tcPr>
            <w:vAlign w:val="center"/>
          </w:tcPr>
          <w:p>
            <w:pPr>
              <w:pStyle w:val="Compact"/>
              <w:suppressAutoHyphens/>
              <w:jc w:val="center"/>
            </w:pPr>
            <w:r>
              <w:rPr>
                <w:sz w:val="18"/>
                <w:szCs w:val="18"/>
              </w:rPr>
              <w:t xml:space="preserve">205.5</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23.8</w:t>
            </w:r>
          </w:p>
        </w:tc>
        <w:tc>
          <w:tcPr>
            <w:vAlign w:val="center"/>
          </w:tcPr>
          <w:p>
            <w:pPr>
              <w:pStyle w:val="Compact"/>
              <w:suppressAutoHyphens/>
              <w:jc w:val="center"/>
            </w:pPr>
            <w:r>
              <w:rPr>
                <w:sz w:val="18"/>
                <w:szCs w:val="18"/>
              </w:rPr>
              <w:t xml:space="preserve">153.0</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9</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396.4</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7</w:t>
            </w:r>
          </w:p>
        </w:tc>
        <w:tc>
          <w:tcPr>
            <w:vAlign w:val="center"/>
          </w:tcPr>
          <w:p>
            <w:pPr>
              <w:pStyle w:val="Compact"/>
              <w:suppressAutoHyphens/>
              <w:jc w:val="center"/>
            </w:pPr>
            <w:r>
              <w:rPr>
                <w:sz w:val="18"/>
                <w:szCs w:val="18"/>
              </w:rPr>
              <w:t xml:space="preserve">18</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9.1</w:t>
            </w:r>
          </w:p>
        </w:tc>
        <w:tc>
          <w:tcPr>
            <w:vAlign w:val="center"/>
          </w:tcPr>
          <w:p>
            <w:pPr>
              <w:pStyle w:val="Compact"/>
              <w:suppressAutoHyphens/>
              <w:jc w:val="center"/>
            </w:pPr>
            <w:r>
              <w:rPr>
                <w:sz w:val="18"/>
                <w:szCs w:val="18"/>
              </w:rPr>
              <w:t xml:space="preserve">271.4</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24.8</w:t>
            </w:r>
          </w:p>
        </w:tc>
        <w:tc>
          <w:tcPr>
            <w:vAlign w:val="center"/>
          </w:tcPr>
          <w:p>
            <w:pPr>
              <w:pStyle w:val="Compact"/>
              <w:suppressAutoHyphens/>
              <w:jc w:val="center"/>
            </w:pPr>
            <w:r>
              <w:rPr>
                <w:sz w:val="18"/>
                <w:szCs w:val="18"/>
              </w:rPr>
              <w:t xml:space="preserve">232.1</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244.7</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4</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12.9</w:t>
            </w:r>
          </w:p>
        </w:tc>
        <w:tc>
          <w:tcPr>
            <w:vAlign w:val="center"/>
          </w:tcPr>
          <w:p>
            <w:pPr>
              <w:pStyle w:val="Compact"/>
              <w:suppressAutoHyphens/>
              <w:jc w:val="center"/>
            </w:pPr>
            <w:r>
              <w:rPr>
                <w:sz w:val="18"/>
                <w:szCs w:val="18"/>
              </w:rPr>
              <w:t xml:space="preserve">303.0</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2</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172.8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1</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0.0</w:t>
            </w:r>
          </w:p>
        </w:tc>
        <w:tc>
          <w:tcPr>
            <w:vAlign w:val="center"/>
          </w:tcPr>
          <w:p>
            <w:pPr>
              <w:pStyle w:val="Compact"/>
              <w:suppressAutoHyphens/>
              <w:jc w:val="center"/>
            </w:pPr>
            <w:r>
              <w:rPr>
                <w:sz w:val="18"/>
                <w:szCs w:val="18"/>
              </w:rPr>
              <w:t xml:space="preserve">190.6</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40.3</w:t>
            </w:r>
          </w:p>
        </w:tc>
        <w:tc>
          <w:tcPr>
            <w:vAlign w:val="center"/>
          </w:tcPr>
          <w:p>
            <w:pPr>
              <w:pStyle w:val="Compact"/>
              <w:suppressAutoHyphens/>
              <w:jc w:val="center"/>
            </w:pPr>
            <w:r>
              <w:rPr>
                <w:sz w:val="18"/>
                <w:szCs w:val="18"/>
              </w:rPr>
              <w:t xml:space="preserve">375.0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C</w:t>
            </w:r>
            <w:r>
              <w:rPr>
                <w:vertAlign w:val="subscript"/>
                <w:sz w:val="18"/>
                <w:szCs w:val="18"/>
              </w:rPr>
              <w:t xml:space="preserve">6</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6</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6.8</w:t>
            </w:r>
          </w:p>
        </w:tc>
        <w:tc>
          <w:tcPr>
            <w:vAlign w:val="center"/>
          </w:tcPr>
          <w:p>
            <w:pPr>
              <w:pStyle w:val="Compact"/>
              <w:suppressAutoHyphens/>
              <w:jc w:val="center"/>
            </w:pPr>
            <w:r>
              <w:rPr>
                <w:sz w:val="18"/>
                <w:szCs w:val="18"/>
              </w:rPr>
              <w:t xml:space="preserve">419.1</w:t>
            </w:r>
          </w:p>
        </w:tc>
      </w:tr>
    </w:tbl>
    <w:p>
      <w:pPr>
        <w:pStyle w:val="MDPI18keywords"/>
        <w:ind w:left="2608"/>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MDPI18keywords"/>
        <w:ind w:left="2608"/>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MDPI41tablecaption"/>
        <w:ind w:left="2608"/>
      </w:pPr>
      <w:r>
        <w:rPr>
          <w:b/>
          <w:bCs/>
        </w:rPr>
        <w:t xml:space="preserve">Table S7.</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 mol</w:t>
      </w:r>
      <w:r>
        <w:rPr>
          <w:vertAlign w:val="superscript"/>
        </w:rPr>
        <w:t xml:space="preserve">−1</w:t>
      </w:r>
      <w:r>
        <w:t xml:space="preserve"> </w:t>
      </w:r>
      <w:r>
        <w:t xml:space="preserve">(6-anchor RDX/TATB/HMX/PETN/FOX-7/NTO fit; LOO RMS ±0.078 g cm</w:t>
      </w:r>
      <w:r>
        <w:rPr>
          <w:vertAlign w:val="superscript"/>
        </w:rPr>
        <w:t xml:space="preserve">−3</w:t>
      </w:r>
      <w:r>
        <w:t xml:space="preserve"> </w:t>
      </w:r>
      <w:r>
        <w:t xml:space="preserve">on ρ and ±64.6 kJ mol</w:t>
      </w:r>
      <w:r>
        <w:rPr>
          <w:vertAlign w:val="superscript"/>
        </w:rPr>
        <w:t xml:space="preserve">−1</w:t>
      </w:r>
      <w:r>
        <w:t xml:space="preserve"> </w:t>
      </w:r>
      <w:r>
        <w:t xml:space="preserve">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[12]</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 mol</w:t>
      </w:r>
      <w:r>
        <w:rPr>
          <w:vertAlign w:val="superscript"/>
        </w:rPr>
        <w:t xml:space="preserve">−1</w:t>
      </w:r>
      <w:r>
        <w:t xml:space="preserve">).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736"/>
        <w:gridCol w:w="1013"/>
        <w:gridCol w:w="1013"/>
        <w:gridCol w:w="1351"/>
        <w:gridCol w:w="1214"/>
        <w:gridCol w:w="1338"/>
        <w:gridCol w:w="119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50,model</w:t>
            </w:r>
            <w:r>
              <w:rPr>
                <w:b/>
                <w:sz w:val="18"/>
                <w:szCs w:val="18"/>
              </w:rPr>
              <w:t xml:space="preserve"> </w:t>
            </w:r>
            <w:r>
              <w:rPr>
                <w:b/>
                <w:sz w:val="18"/>
                <w:szCs w:val="18"/>
              </w:rPr>
              <w:t xml:space="preserve">(cm)</w:t>
            </w:r>
          </w:p>
        </w:tc>
        <w:tc>
          <w:tcPr>
            <w:tcBorders>
              <w:bottom w:val="single" w:sz="8" w:space="0" w:color="auto"/>
            </w:tcBorders>
            <w:vAlign w:val="center"/>
          </w:tcPr>
          <w:p>
            <w:pPr>
              <w:pStyle w:val="Compact"/>
              <w:suppressAutoHyphens/>
              <w:jc w:val="center"/>
            </w:pPr>
            <w:r>
              <w:rPr>
                <w:b/>
                <w:sz w:val="18"/>
                <w:szCs w:val="18"/>
              </w:rPr>
              <w:t xml:space="preserve">h</w:t>
            </w:r>
            <w:r>
              <w:rPr>
                <w:b/>
                <w:vertAlign w:val="subscript"/>
                <w:sz w:val="18"/>
                <w:szCs w:val="18"/>
              </w:rPr>
              <w:t xml:space="preserve">50,BDE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1.801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+229.5</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30.3</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33.5</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1.692</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+498.8</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27.8</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1.693</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+53.6</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33.4</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+536.5</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21.9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+47.6</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1.634</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+321.8</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31.0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1.731</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+322.0</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82.6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1.619</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+388.7</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1.666</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-166.7</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45.5</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1.723</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+194.7</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1.632</w:t>
            </w:r>
          </w:p>
        </w:tc>
        <w:tc>
          <w:tcPr>
            <w:vAlign w:val="center"/>
          </w:tcPr>
          <w:p>
            <w:pPr>
              <w:pStyle w:val="Compact"/>
              <w:suppressAutoHyphens/>
              <w:jc w:val="center"/>
            </w:pPr>
            <w:r>
              <w:rPr>
                <w:sz w:val="18"/>
                <w:szCs w:val="18"/>
              </w:rPr>
              <w:t xml:space="preserve">1.857</w:t>
            </w:r>
          </w:p>
        </w:tc>
        <w:tc>
          <w:tcPr>
            <w:vAlign w:val="center"/>
          </w:tcPr>
          <w:p>
            <w:pPr>
              <w:pStyle w:val="Compact"/>
              <w:suppressAutoHyphens/>
              <w:jc w:val="center"/>
            </w:pPr>
            <w:r>
              <w:rPr>
                <w:sz w:val="18"/>
                <w:szCs w:val="18"/>
              </w:rPr>
              <w:t xml:space="preserve">+240.4</w:t>
            </w:r>
          </w:p>
        </w:tc>
        <w:tc>
          <w:tcPr>
            <w:vAlign w:val="center"/>
          </w:tcPr>
          <w:p>
            <w:pPr>
              <w:pStyle w:val="Compact"/>
              <w:suppressAutoHyphens/>
              <w:jc w:val="center"/>
            </w:pPr>
            <w:r>
              <w:rPr>
                <w:sz w:val="18"/>
                <w:szCs w:val="18"/>
              </w:rPr>
              <w:t xml:space="preserve">+33.8</w:t>
            </w:r>
          </w:p>
        </w:tc>
        <w:tc>
          <w:tcPr>
            <w:vAlign w:val="center"/>
          </w:tcPr>
          <w:p>
            <w:pPr>
              <w:pStyle w:val="Compact"/>
              <w:suppressAutoHyphens/>
              <w:jc w:val="center"/>
            </w:pPr>
            <w:r>
              <w:rPr>
                <w:sz w:val="18"/>
                <w:szCs w:val="18"/>
              </w:rPr>
              <w:t xml:space="preserve">26.3</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1.663</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+82.9</w:t>
            </w:r>
          </w:p>
        </w:tc>
        <w:tc>
          <w:tcPr>
            <w:vAlign w:val="center"/>
          </w:tcPr>
          <w:p>
            <w:pPr>
              <w:pStyle w:val="Compact"/>
              <w:suppressAutoHyphens/>
              <w:jc w:val="center"/>
            </w:pPr>
            <w:r>
              <w:rPr>
                <w:sz w:val="18"/>
                <w:szCs w:val="18"/>
              </w:rPr>
              <w:t xml:space="preserve">-123.7</w:t>
            </w:r>
          </w:p>
        </w:tc>
        <w:tc>
          <w:tcPr>
            <w:vAlign w:val="center"/>
          </w:tcPr>
          <w:p>
            <w:pPr>
              <w:pStyle w:val="Compact"/>
              <w:suppressAutoHyphens/>
              <w:jc w:val="center"/>
            </w:pPr>
            <w:r>
              <w:rPr>
                <w:sz w:val="18"/>
                <w:szCs w:val="18"/>
              </w:rPr>
              <w:t xml:space="preserve">89.2</w:t>
            </w:r>
          </w:p>
        </w:tc>
        <w:tc>
          <w:tcPr>
            <w:vAlign w:val="center"/>
          </w:tcPr>
          <w:p>
            <w:pPr>
              <w:pStyle w:val="Compact"/>
              <w:suppressAutoHyphens/>
              <w:jc w:val="center"/>
            </w:pPr>
            <w:r>
              <w:rPr>
                <w:sz w:val="18"/>
                <w:szCs w:val="18"/>
              </w:rPr>
              <w:t xml:space="preserve">82.7</w:t>
            </w:r>
          </w:p>
        </w:tc>
      </w:tr>
    </w:tbl>
    <w:p>
      <w:pPr>
        <w:pStyle w:val="MDPI18keywords"/>
        <w:ind w:left="2608"/>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 mol</w:t>
      </w:r>
      <w:r>
        <w:rPr>
          <w:vertAlign w:val="superscript"/>
        </w:rPr>
        <w:t xml:space="preserve">−1</w:t>
      </w:r>
      <w:r>
        <w:t xml:space="preserve">). Neither route is authoritative for a novel chemotype; experimental impact-sensitivity testing is required.</w:t>
      </w:r>
    </w:p>
    <w:p>
      <w:pPr>
        <w:pStyle w:val="MDPI18keywords"/>
        <w:ind w:left="2608"/>
      </w:pPr>
      <w:r>
        <w:rPr>
          <w:b/>
          <w:bCs/>
        </w:rPr>
        <w:t xml:space="preserve">Reference-class scaffolds.</w:t>
      </w:r>
      <w:r>
        <w:t xml:space="preserve"> </w:t>
      </w:r>
      <w:r>
        <w:t xml:space="preserve">Three reference-class compounds (R2, R3, R14) flagged by the strengthened SMARTS gate of Section 2.4 were optimised with the same protocol; they are</w:t>
      </w:r>
      <w:r>
        <w:t xml:space="preserve"> </w:t>
      </w:r>
      <w:r>
        <w:rPr>
          <w:i/>
          <w:iCs/>
        </w:rPr>
        <w:t xml:space="preserve">not</w:t>
      </w:r>
      <w:r>
        <w:t xml:space="preserve"> </w:t>
      </w:r>
      <w:r>
        <w:t xml:space="preserve">chem-pass leads and are reported here for completeness:</w:t>
      </w:r>
    </w:p>
    <w:p>
      <w:pPr>
        <w:pStyle w:val="MDPI41tablecaption"/>
        <w:ind w:left="2608"/>
      </w:pPr>
      <w:r>
        <w:rPr>
          <w:b/>
          <w:bCs/>
        </w:rPr>
        <w:t xml:space="preserve">Table S8.</w:t>
      </w:r>
      <w:r>
        <w:t xml:space="preserve"> </w:t>
      </w:r>
      <w:r>
        <w:t xml:space="preserve">Reference-class (chem-rejected) scaffolds optimised with the same B3LYP/6-31G(d) + ωB97X-D3BJ/def2-TZVP protocol. R2 is an N-nitroimine, R3 a polyazene chain, R14 an azo-amino-nitrate. DFT-derived properties for these compounds are in Table S9.</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63"/>
        <w:gridCol w:w="1570"/>
        <w:gridCol w:w="1274"/>
        <w:gridCol w:w="1133"/>
        <w:gridCol w:w="1540"/>
        <w:gridCol w:w="167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n_imag</w:t>
            </w:r>
          </w:p>
        </w:tc>
        <w:tc>
          <w:tcPr>
            <w:tcBorders>
              <w:bottom w:val="single" w:sz="8" w:space="0" w:color="auto"/>
            </w:tcBorders>
            <w:vAlign w:val="center"/>
          </w:tcPr>
          <w:p>
            <w:pPr>
              <w:pStyle w:val="Compact"/>
              <w:suppressAutoHyphens/>
              <w:jc w:val="center"/>
            </w:pPr>
            <w:r>
              <w:rPr>
                <w:b/>
                <w:sz w:val="18"/>
                <w:szCs w:val="18"/>
              </w:rPr>
              <w:t xml:space="preserve">ν_min (cm</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ZPE (kJ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5</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47.1</w:t>
            </w:r>
          </w:p>
        </w:tc>
        <w:tc>
          <w:tcPr>
            <w:vAlign w:val="center"/>
          </w:tcPr>
          <w:p>
            <w:pPr>
              <w:pStyle w:val="Compact"/>
              <w:suppressAutoHyphens/>
              <w:jc w:val="center"/>
            </w:pPr>
            <w:r>
              <w:rPr>
                <w:sz w:val="18"/>
                <w:szCs w:val="18"/>
              </w:rPr>
              <w:t xml:space="preserve">263.1</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33.3</w:t>
            </w:r>
          </w:p>
        </w:tc>
        <w:tc>
          <w:tcPr>
            <w:vAlign w:val="center"/>
          </w:tcPr>
          <w:p>
            <w:pPr>
              <w:pStyle w:val="Compact"/>
              <w:suppressAutoHyphens/>
              <w:jc w:val="center"/>
            </w:pPr>
            <w:r>
              <w:rPr>
                <w:sz w:val="18"/>
                <w:szCs w:val="18"/>
              </w:rPr>
              <w:t xml:space="preserve">234.3</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5</w:t>
            </w:r>
            <w:r>
              <w:rPr>
                <w:sz w:val="18"/>
                <w:szCs w:val="18"/>
              </w:rPr>
              <w:t xml:space="preserve">N</w:t>
            </w:r>
            <w:r>
              <w:rPr>
                <w:vertAlign w:val="subscript"/>
                <w:sz w:val="18"/>
                <w:szCs w:val="18"/>
              </w:rPr>
              <w:t xml:space="preserve">7</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w:t>
            </w:r>
          </w:p>
        </w:tc>
        <w:tc>
          <w:tcPr>
            <w:vAlign w:val="center"/>
          </w:tcPr>
          <w:p>
            <w:pPr>
              <w:pStyle w:val="Compact"/>
              <w:suppressAutoHyphens/>
              <w:jc w:val="center"/>
            </w:pPr>
            <w:r>
              <w:rPr>
                <w:sz w:val="18"/>
                <w:szCs w:val="18"/>
              </w:rPr>
              <w:t xml:space="preserve">36.9</w:t>
            </w:r>
          </w:p>
        </w:tc>
        <w:tc>
          <w:tcPr>
            <w:vAlign w:val="center"/>
          </w:tcPr>
          <w:p>
            <w:pPr>
              <w:pStyle w:val="Compact"/>
              <w:suppressAutoHyphens/>
              <w:jc w:val="center"/>
            </w:pPr>
            <w:r>
              <w:rPr>
                <w:sz w:val="18"/>
                <w:szCs w:val="18"/>
              </w:rPr>
              <w:t xml:space="preserve">348.6</w:t>
            </w:r>
          </w:p>
        </w:tc>
      </w:tr>
    </w:tbl>
    <w:p>
      <w:pPr>
        <w:pStyle w:val="MDPI18keywords"/>
        <w:ind w:left="2608"/>
      </w:pPr>
    </w:p>
    <w:p>
      <w:pPr>
        <w:pStyle w:val="MDPI41tablecaption"/>
        <w:ind w:left="2608"/>
      </w:pPr>
      <w:r>
        <w:rPr>
          <w:b/>
          <w:bCs/>
        </w:rPr>
        <w:t xml:space="preserve">Table S9.</w:t>
      </w:r>
      <w:r>
        <w:t xml:space="preserve"> </w:t>
      </w:r>
      <w:r>
        <w:t xml:space="preserve">DFT-derived properties for the three reference-class scaffolds. Calibration as Table S7. h</w:t>
      </w:r>
      <w:r>
        <w:rPr>
          <w:vertAlign w:val="subscript"/>
        </w:rPr>
        <w:t xml:space="preserve">50</w:t>
      </w:r>
      <w:r>
        <w:t xml:space="preserve"> </w:t>
      </w:r>
      <w:r>
        <w:t xml:space="preserve">not reported because the score-model training set does not include reference-class chemotypes at sufficient density.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70"/>
        <w:gridCol w:w="1576"/>
        <w:gridCol w:w="1576"/>
        <w:gridCol w:w="2086"/>
        <w:gridCol w:w="195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R2</w:t>
            </w:r>
          </w:p>
        </w:tc>
        <w:tc>
          <w:tcPr>
            <w:vAlign w:val="center"/>
          </w:tcPr>
          <w:p>
            <w:pPr>
              <w:pStyle w:val="Compact"/>
              <w:suppressAutoHyphens/>
              <w:jc w:val="center"/>
            </w:pPr>
            <w:r>
              <w:rPr>
                <w:sz w:val="18"/>
                <w:szCs w:val="18"/>
              </w:rPr>
              <w:t xml:space="preserve">1.699</w:t>
            </w:r>
          </w:p>
        </w:tc>
        <w:tc>
          <w:tcPr>
            <w:vAlign w:val="center"/>
          </w:tcPr>
          <w:p>
            <w:pPr>
              <w:pStyle w:val="Compact"/>
              <w:suppressAutoHyphens/>
              <w:jc w:val="center"/>
            </w:pPr>
            <w:r>
              <w:rPr>
                <w:sz w:val="18"/>
                <w:szCs w:val="18"/>
              </w:rPr>
              <w:t xml:space="preserve">1.950</w:t>
            </w:r>
          </w:p>
        </w:tc>
        <w:tc>
          <w:tcPr>
            <w:vAlign w:val="center"/>
          </w:tcPr>
          <w:p>
            <w:pPr>
              <w:pStyle w:val="Compact"/>
              <w:suppressAutoHyphens/>
              <w:jc w:val="center"/>
            </w:pPr>
            <w:r>
              <w:rPr>
                <w:sz w:val="18"/>
                <w:szCs w:val="18"/>
              </w:rPr>
              <w:t xml:space="preserve">+117.3</w:t>
            </w:r>
          </w:p>
        </w:tc>
        <w:tc>
          <w:tcPr>
            <w:vAlign w:val="center"/>
          </w:tcPr>
          <w:p>
            <w:pPr>
              <w:pStyle w:val="Compact"/>
              <w:suppressAutoHyphens/>
              <w:jc w:val="center"/>
            </w:pPr>
            <w:r>
              <w:rPr>
                <w:sz w:val="18"/>
                <w:szCs w:val="18"/>
              </w:rPr>
              <w:t xml:space="preserve">-89.4</w:t>
            </w:r>
          </w:p>
        </w:tc>
      </w:tr>
      <w:tr>
        <w:tc>
          <w:tcPr>
            <w:vAlign w:val="center"/>
          </w:tcPr>
          <w:p>
            <w:pPr>
              <w:pStyle w:val="Compact"/>
              <w:suppressAutoHyphens/>
              <w:jc w:val="center"/>
            </w:pPr>
            <w:r>
              <w:rPr>
                <w:sz w:val="18"/>
                <w:szCs w:val="18"/>
              </w:rPr>
              <w:t xml:space="preserve">R3</w:t>
            </w:r>
          </w:p>
        </w:tc>
        <w:tc>
          <w:tcPr>
            <w:vAlign w:val="center"/>
          </w:tcPr>
          <w:p>
            <w:pPr>
              <w:pStyle w:val="Compact"/>
              <w:suppressAutoHyphens/>
              <w:jc w:val="center"/>
            </w:pPr>
            <w:r>
              <w:rPr>
                <w:sz w:val="18"/>
                <w:szCs w:val="18"/>
              </w:rPr>
              <w:t xml:space="preserve">1.642</w:t>
            </w:r>
          </w:p>
        </w:tc>
        <w:tc>
          <w:tcPr>
            <w:vAlign w:val="center"/>
          </w:tcPr>
          <w:p>
            <w:pPr>
              <w:pStyle w:val="Compact"/>
              <w:suppressAutoHyphens/>
              <w:jc w:val="center"/>
            </w:pPr>
            <w:r>
              <w:rPr>
                <w:sz w:val="18"/>
                <w:szCs w:val="18"/>
              </w:rPr>
              <w:t xml:space="preserve">1.871</w:t>
            </w:r>
          </w:p>
        </w:tc>
        <w:tc>
          <w:tcPr>
            <w:vAlign w:val="center"/>
          </w:tcPr>
          <w:p>
            <w:pPr>
              <w:pStyle w:val="Compact"/>
              <w:suppressAutoHyphens/>
              <w:jc w:val="center"/>
            </w:pPr>
            <w:r>
              <w:rPr>
                <w:sz w:val="18"/>
                <w:szCs w:val="18"/>
              </w:rPr>
              <w:t xml:space="preserve">+521.7</w:t>
            </w:r>
          </w:p>
        </w:tc>
        <w:tc>
          <w:tcPr>
            <w:vAlign w:val="center"/>
          </w:tcPr>
          <w:p>
            <w:pPr>
              <w:pStyle w:val="Compact"/>
              <w:suppressAutoHyphens/>
              <w:jc w:val="center"/>
            </w:pPr>
            <w:r>
              <w:rPr>
                <w:sz w:val="18"/>
                <w:szCs w:val="18"/>
              </w:rPr>
              <w:t xml:space="preserve">+315.0</w:t>
            </w:r>
          </w:p>
        </w:tc>
      </w:tr>
      <w:tr>
        <w:tc>
          <w:tcPr>
            <w:vAlign w:val="center"/>
          </w:tcPr>
          <w:p>
            <w:pPr>
              <w:pStyle w:val="Compact"/>
              <w:suppressAutoHyphens/>
              <w:jc w:val="center"/>
            </w:pPr>
            <w:r>
              <w:rPr>
                <w:sz w:val="18"/>
                <w:szCs w:val="18"/>
              </w:rPr>
              <w:t xml:space="preserve">R14</w:t>
            </w:r>
          </w:p>
        </w:tc>
        <w:tc>
          <w:tcPr>
            <w:vAlign w:val="center"/>
          </w:tcPr>
          <w:p>
            <w:pPr>
              <w:pStyle w:val="Compact"/>
              <w:suppressAutoHyphens/>
              <w:jc w:val="center"/>
            </w:pPr>
            <w:r>
              <w:rPr>
                <w:sz w:val="18"/>
                <w:szCs w:val="18"/>
              </w:rPr>
              <w:t xml:space="preserve">1.604</w:t>
            </w:r>
          </w:p>
        </w:tc>
        <w:tc>
          <w:tcPr>
            <w:vAlign w:val="center"/>
          </w:tcPr>
          <w:p>
            <w:pPr>
              <w:pStyle w:val="Compact"/>
              <w:suppressAutoHyphens/>
              <w:jc w:val="center"/>
            </w:pPr>
            <w:r>
              <w:rPr>
                <w:sz w:val="18"/>
                <w:szCs w:val="18"/>
              </w:rPr>
              <w:t xml:space="preserve">1.818</w:t>
            </w:r>
          </w:p>
        </w:tc>
        <w:tc>
          <w:tcPr>
            <w:vAlign w:val="center"/>
          </w:tcPr>
          <w:p>
            <w:pPr>
              <w:pStyle w:val="Compact"/>
              <w:suppressAutoHyphens/>
              <w:jc w:val="center"/>
            </w:pPr>
            <w:r>
              <w:rPr>
                <w:sz w:val="18"/>
                <w:szCs w:val="18"/>
              </w:rPr>
              <w:t xml:space="preserve">+437.4</w:t>
            </w:r>
          </w:p>
        </w:tc>
        <w:tc>
          <w:tcPr>
            <w:vAlign w:val="center"/>
          </w:tcPr>
          <w:p>
            <w:pPr>
              <w:pStyle w:val="Compact"/>
              <w:suppressAutoHyphens/>
              <w:jc w:val="center"/>
            </w:pPr>
            <w:r>
              <w:rPr>
                <w:sz w:val="18"/>
                <w:szCs w:val="18"/>
              </w:rPr>
              <w:t xml:space="preserve">+230.7</w:t>
            </w:r>
          </w:p>
        </w:tc>
      </w:tr>
    </w:tbl>
    <w:p>
      <w:pPr>
        <w:pStyle w:val="MDPI18keywords"/>
        <w:ind w:left="2608"/>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 cm</w:t>
      </w:r>
      <w:r>
        <w:rPr>
          <w:vertAlign w:val="superscript"/>
        </w:rPr>
        <w:t xml:space="preserve">−3</w:t>
      </w:r>
      <w:r>
        <w:t xml:space="preserve"> </w:t>
      </w:r>
      <w:r>
        <w:t xml:space="preserve">and kJ mol</w:t>
      </w:r>
      <w:r>
        <w:rPr>
          <w:vertAlign w:val="superscript"/>
        </w:rPr>
        <w:t xml:space="preserve">−1</w:t>
      </w:r>
      <w:r>
        <w:t xml:space="preserve"> </w:t>
      </w:r>
      <w:r>
        <w:t xml:space="preserve">respectively. Raw</w:t>
      </w:r>
      <w:r>
        <w:t xml:space="preserve"> </w:t>
      </w:r>
      <m:oMath>
        <m:r>
          <m:t>ω</m:t>
        </m:r>
      </m:oMath>
      <w:r>
        <w:t xml:space="preserve">B97X-D3BJ DFT outputs are tabulated in Table S7.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 mol</w:t>
      </w:r>
      <w:r>
        <w:rPr>
          <w:vertAlign w:val="superscript"/>
        </w:rPr>
        <w:t xml:space="preserve">−1</w:t>
      </w:r>
      <w:r>
        <w:t xml:space="preserve">, with LOO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(per-anchor residuals in Supplementary Section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 mol</w:t>
      </w:r>
      <w:r>
        <w:rPr>
          <w:vertAlign w:val="superscript"/>
        </w:rPr>
        <w:t xml:space="preserve">−1</w:t>
      </w:r>
      <w:r>
        <w:t xml:space="preserve">.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MDPI41tablecaption"/>
        <w:ind w:left="2608"/>
      </w:pPr>
      <w:r>
        <w:rPr>
          <w:b/>
          <w:bCs/>
        </w:rPr>
        <w:t xml:space="preserve">Table S10.</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Uni-Mol surrogate prediction. The raw-DFT K-J values are listed in the third column for transparency. Residual is K-J</w:t>
      </w:r>
      <m:oMath>
        <m:sSub>
          <m:e>
            <m:r>
              <m:t>​</m:t>
            </m:r>
          </m:e>
          <m:sub>
            <m:r>
              <m:rPr>
                <m:nor/>
                <m:sty m:val="p"/>
              </m:rPr>
              <m:t>cal</m:t>
            </m:r>
          </m:sub>
        </m:sSub>
      </m:oMath>
      <w:r>
        <w:t xml:space="preserve"> </w:t>
      </w:r>
      <w:r>
        <w:t xml:space="preserve">minus Uni-Mol</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8"/>
        <w:gridCol w:w="1194"/>
        <w:gridCol w:w="1258"/>
        <w:gridCol w:w="1416"/>
        <w:gridCol w:w="1522"/>
      </w:tblGrid>
      <w:tr>
        <w:trPr>
          <w:tblHeader w:val="on"/>
        </w:trPr>
        <w:tc>
          <w:tcPr>
            <w:tcBorders>
              <w:bottom w:val="single" w:sz="8" w:space="0" w:color="auto"/>
            </w:tcBorders>
            <w:vAlign w:val="center"/>
          </w:tcPr>
          <w:p>
            <w:pPr>
              <w:pStyle w:val="Compact"/>
              <w:suppressAutoHyphens/>
              <w:jc w:val="center"/>
            </w:pPr>
            <w:r>
              <w:rPr>
                <w:b/>
                <w:sz w:val="18"/>
                <w:szCs w:val="18"/>
              </w:rPr>
              <w:t xml:space="preserve">Lead</w:t>
            </w:r>
          </w:p>
        </w:tc>
        <w:tc>
          <w:tcPr>
            <w:tcBorders>
              <w:bottom w:val="single" w:sz="8" w:space="0" w:color="auto"/>
            </w:tcBorders>
            <w:vAlign w:val="center"/>
          </w:tcPr>
          <w:p>
            <w:pPr>
              <w:pStyle w:val="Compact"/>
              <w:suppressAutoHyphens/>
              <w:jc w:val="center"/>
            </w:pPr>
            <w:r>
              <w:rPr>
                <w:b/>
                <w:sz w:val="18"/>
                <w:szCs w:val="18"/>
              </w:rPr>
              <w:t xml:space="preserve">Uni-Mol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ρ</m:t>
              </m:r>
            </m:oMath>
          </w:p>
        </w:tc>
        <w:tc>
          <w:tcPr>
            <w:tcBorders>
              <w:bottom w:val="single" w:sz="8" w:space="0" w:color="auto"/>
            </w:tcBorders>
            <w:vAlign w:val="center"/>
          </w:tcPr>
          <w:p>
            <w:pPr>
              <w:pStyle w:val="Compact"/>
              <w:suppressAutoHyphens/>
              <w:jc w:val="center"/>
            </w:pPr>
            <w:r>
              <w:rPr>
                <w:b/>
                <w:sz w:val="18"/>
                <w:szCs w:val="18"/>
              </w:rPr>
              <w:t xml:space="preserve">K-J raw DFT</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K-J 6-anchor cal</w:t>
            </w:r>
            <w:r>
              <w:rPr>
                <w:b/>
                <w:sz w:val="18"/>
                <w:szCs w:val="18"/>
              </w:rPr>
              <w:t xml:space="preserve"> </w:t>
            </w:r>
            <m:oMath>
              <m:r>
                <w:rPr>
                  <w:sz w:val="18"/>
                  <w:szCs w:val="18"/>
                </w:rPr>
                <m:t>D</m:t>
              </m:r>
            </m:oMath>
            <w:r>
              <w:rPr>
                <w:b/>
                <w:sz w:val="18"/>
                <w:szCs w:val="18"/>
              </w:rPr>
              <w:t xml:space="preserve">,</w:t>
            </w:r>
            <w:r>
              <w:rPr>
                <w:b/>
                <w:sz w:val="18"/>
                <w:szCs w:val="18"/>
              </w:rPr>
              <w:t xml:space="preserve"> </w:t>
            </w:r>
            <m:oMath>
              <m:r>
                <w:rPr>
                  <w:sz w:val="18"/>
                  <w:szCs w:val="18"/>
                </w:rPr>
                <m:t>P</m:t>
              </m:r>
            </m:oMath>
          </w:p>
        </w:tc>
        <w:tc>
          <w:tcPr>
            <w:tcBorders>
              <w:bottom w:val="single" w:sz="8" w:space="0" w:color="auto"/>
            </w:tcBorders>
            <w:vAlign w:val="center"/>
          </w:tcPr>
          <w:p>
            <w:pPr>
              <w:pStyle w:val="Compact"/>
              <w:suppressAutoHyphens/>
              <w:jc w:val="center"/>
            </w:pPr>
            <w:r>
              <w:rPr>
                <w:b/>
                <w:sz w:val="18"/>
                <w:szCs w:val="18"/>
              </w:rPr>
              <w:t xml:space="preserve">residual (cal − Uni-Mol)</w:t>
            </w:r>
          </w:p>
        </w:tc>
      </w:tr>
      <w:tr>
        <w:tc>
          <w:tcPr>
            <w:vAlign w:val="center"/>
          </w:tcPr>
          <w:p>
            <w:pPr>
              <w:pStyle w:val="Compact"/>
              <w:suppressAutoHyphens/>
              <w:jc w:val="center"/>
            </w:pPr>
            <w:r>
              <w:rPr>
                <w:sz w:val="18"/>
                <w:szCs w:val="18"/>
              </w:rPr>
              <w:t xml:space="preserve">L1 trinitro-isoxazole</w:t>
            </w:r>
          </w:p>
        </w:tc>
        <w:tc>
          <w:tcPr>
            <w:vAlign w:val="center"/>
          </w:tcPr>
          <w:p>
            <w:pPr>
              <w:pStyle w:val="Compact"/>
              <w:suppressAutoHyphens/>
              <w:jc w:val="center"/>
            </w:pPr>
            <w:r>
              <w:rPr>
                <w:sz w:val="18"/>
                <w:szCs w:val="18"/>
              </w:rPr>
              <w:t xml:space="preserve">D=9.56, ρ=2.00</w:t>
            </w:r>
          </w:p>
        </w:tc>
        <w:tc>
          <w:tcPr>
            <w:vAlign w:val="center"/>
          </w:tcPr>
          <w:p>
            <w:pPr>
              <w:pStyle w:val="Compact"/>
              <w:suppressAutoHyphens/>
              <w:jc w:val="center"/>
            </w:pPr>
            <w:r>
              <w:rPr>
                <w:sz w:val="18"/>
                <w:szCs w:val="18"/>
              </w:rPr>
              <w:t xml:space="preserve">D=7.85, P=27.3</w:t>
            </w:r>
          </w:p>
        </w:tc>
        <w:tc>
          <w:tcPr>
            <w:vAlign w:val="center"/>
          </w:tcPr>
          <w:p>
            <w:pPr>
              <w:pStyle w:val="Compact"/>
              <w:suppressAutoHyphens/>
              <w:jc w:val="center"/>
            </w:pPr>
            <w:r>
              <w:rPr>
                <w:b/>
                <w:bCs/>
                <w:sz w:val="18"/>
                <w:szCs w:val="18"/>
              </w:rPr>
              <w:t xml:space="preserve">D=8.25, P=32.9</w:t>
            </w:r>
          </w:p>
        </w:tc>
        <w:tc>
          <w:tcPr>
            <w:vAlign w:val="center"/>
          </w:tcPr>
          <w:p>
            <w:pPr>
              <w:pStyle w:val="Compact"/>
              <w:suppressAutoHyphens/>
              <w:jc w:val="center"/>
            </w:pPr>
            <w:r>
              <w:rPr>
                <w:sz w:val="18"/>
                <w:szCs w:val="18"/>
              </w:rPr>
              <w:t xml:space="preserve">−1.31 km s</w:t>
            </w:r>
            <w:r>
              <w:rPr>
                <w:vertAlign w:val="superscript"/>
                <w:sz w:val="18"/>
                <w:szCs w:val="18"/>
              </w:rPr>
              <w:t xml:space="preserve">−1</w:t>
            </w:r>
          </w:p>
        </w:tc>
      </w:tr>
      <w:tr>
        <w:tc>
          <w:tcPr>
            <w:vAlign w:val="center"/>
          </w:tcPr>
          <w:p>
            <w:pPr>
              <w:pStyle w:val="Compact"/>
              <w:suppressAutoHyphens/>
              <w:jc w:val="center"/>
            </w:pPr>
            <w:r>
              <w:rPr>
                <w:sz w:val="18"/>
                <w:szCs w:val="18"/>
              </w:rPr>
              <w:t xml:space="preserve">L2 oxime-nitrate-imidazoline</w:t>
            </w:r>
          </w:p>
        </w:tc>
        <w:tc>
          <w:tcPr>
            <w:vAlign w:val="center"/>
          </w:tcPr>
          <w:p>
            <w:pPr>
              <w:pStyle w:val="Compact"/>
              <w:suppressAutoHyphens/>
              <w:jc w:val="center"/>
            </w:pPr>
            <w:r>
              <w:rPr>
                <w:sz w:val="18"/>
                <w:szCs w:val="18"/>
              </w:rPr>
              <w:t xml:space="preserve">D=8.96, ρ=1.87</w:t>
            </w:r>
          </w:p>
        </w:tc>
        <w:tc>
          <w:tcPr>
            <w:vAlign w:val="center"/>
          </w:tcPr>
          <w:p>
            <w:pPr>
              <w:pStyle w:val="Compact"/>
              <w:suppressAutoHyphens/>
              <w:jc w:val="center"/>
            </w:pPr>
            <w:r>
              <w:rPr>
                <w:sz w:val="18"/>
                <w:szCs w:val="18"/>
              </w:rPr>
              <w:t xml:space="preserve">D=6.81, P=19.9</w:t>
            </w:r>
          </w:p>
        </w:tc>
        <w:tc>
          <w:tcPr>
            <w:vAlign w:val="center"/>
          </w:tcPr>
          <w:p>
            <w:pPr>
              <w:pStyle w:val="Compact"/>
              <w:suppressAutoHyphens/>
              <w:jc w:val="center"/>
            </w:pPr>
            <w:r>
              <w:rPr>
                <w:sz w:val="18"/>
                <w:szCs w:val="18"/>
              </w:rPr>
              <w:t xml:space="preserve">D=7.78, P=28.1</w:t>
            </w:r>
          </w:p>
        </w:tc>
        <w:tc>
          <w:tcPr>
            <w:vAlign w:val="center"/>
          </w:tcPr>
          <w:p>
            <w:pPr>
              <w:pStyle w:val="Compact"/>
              <w:suppressAutoHyphens/>
              <w:jc w:val="center"/>
            </w:pPr>
            <w:r>
              <w:rPr>
                <w:sz w:val="18"/>
                <w:szCs w:val="18"/>
              </w:rPr>
              <w:t xml:space="preserve">−1.18 km s</w:t>
            </w:r>
            <w:r>
              <w:rPr>
                <w:vertAlign w:val="superscript"/>
                <w:sz w:val="18"/>
                <w:szCs w:val="18"/>
              </w:rPr>
              <w:t xml:space="preserve">−1</w:t>
            </w:r>
          </w:p>
        </w:tc>
      </w:tr>
      <w:tr>
        <w:tc>
          <w:tcPr>
            <w:vAlign w:val="center"/>
          </w:tcPr>
          <w:p>
            <w:pPr>
              <w:pStyle w:val="Compact"/>
              <w:suppressAutoHyphens/>
              <w:jc w:val="center"/>
            </w:pPr>
            <w:r>
              <w:rPr>
                <w:sz w:val="18"/>
                <w:szCs w:val="18"/>
              </w:rPr>
              <w:t xml:space="preserve">L3 oxadiazinone-N-nitramine</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L4 5-ring tetrazoline-N-nitramine</w:t>
            </w:r>
          </w:p>
        </w:tc>
        <w:tc>
          <w:tcPr>
            <w:vAlign w:val="center"/>
          </w:tcPr>
          <w:p>
            <w:pPr>
              <w:pStyle w:val="Compact"/>
              <w:suppressAutoHyphens/>
              <w:jc w:val="center"/>
            </w:pPr>
            <w:r>
              <w:rPr>
                <w:sz w:val="18"/>
                <w:szCs w:val="18"/>
              </w:rPr>
              <w:t xml:space="preserve">D=8.98, ρ=1.87</w:t>
            </w:r>
          </w:p>
        </w:tc>
        <w:tc>
          <w:tcPr>
            <w:vAlign w:val="center"/>
          </w:tcPr>
          <w:p>
            <w:pPr>
              <w:pStyle w:val="Compact"/>
              <w:suppressAutoHyphens/>
              <w:jc w:val="center"/>
            </w:pPr>
            <w:r>
              <w:rPr>
                <w:sz w:val="18"/>
                <w:szCs w:val="18"/>
              </w:rPr>
              <w:t xml:space="preserve">D=5.56, P=13.2</w:t>
            </w:r>
          </w:p>
        </w:tc>
        <w:tc>
          <w:tcPr>
            <w:vAlign w:val="center"/>
          </w:tcPr>
          <w:p>
            <w:pPr>
              <w:pStyle w:val="Compact"/>
              <w:suppressAutoHyphens/>
              <w:jc w:val="center"/>
            </w:pPr>
            <w:r>
              <w:rPr>
                <w:sz w:val="18"/>
                <w:szCs w:val="18"/>
              </w:rPr>
              <w:t xml:space="preserve">D=6.71, P=20.9</w:t>
            </w:r>
          </w:p>
        </w:tc>
        <w:tc>
          <w:tcPr>
            <w:vAlign w:val="center"/>
          </w:tcPr>
          <w:p>
            <w:pPr>
              <w:pStyle w:val="Compact"/>
              <w:suppressAutoHyphens/>
              <w:jc w:val="center"/>
            </w:pPr>
            <w:r>
              <w:rPr>
                <w:sz w:val="18"/>
                <w:szCs w:val="18"/>
              </w:rPr>
              <w:t xml:space="preserve">−2.27 km s</w:t>
            </w:r>
            <w:r>
              <w:rPr>
                <w:vertAlign w:val="superscript"/>
                <w:sz w:val="18"/>
                <w:szCs w:val="18"/>
              </w:rPr>
              <w:t xml:space="preserve">−1</w:t>
            </w:r>
          </w:p>
        </w:tc>
      </w:tr>
      <w:tr>
        <w:tc>
          <w:tcPr>
            <w:vAlign w:val="center"/>
          </w:tcPr>
          <w:p>
            <w:pPr>
              <w:pStyle w:val="Compact"/>
              <w:suppressAutoHyphens/>
              <w:jc w:val="center"/>
            </w:pPr>
            <w:r>
              <w:rPr>
                <w:sz w:val="18"/>
                <w:szCs w:val="18"/>
              </w:rPr>
              <w:t xml:space="preserve">L5 acyl oxime nitrate</w:t>
            </w:r>
          </w:p>
        </w:tc>
        <w:tc>
          <w:tcPr>
            <w:vAlign w:val="center"/>
          </w:tcPr>
          <w:p>
            <w:pPr>
              <w:pStyle w:val="Compact"/>
              <w:suppressAutoHyphens/>
              <w:jc w:val="center"/>
            </w:pPr>
            <w:r>
              <w:rPr>
                <w:sz w:val="18"/>
                <w:szCs w:val="18"/>
              </w:rPr>
              <w:t xml:space="preserve">D=9.21, ρ=1.93</w:t>
            </w:r>
          </w:p>
        </w:tc>
        <w:tc>
          <w:tcPr>
            <w:vAlign w:val="center"/>
          </w:tcPr>
          <w:p>
            <w:pPr>
              <w:pStyle w:val="Compact"/>
              <w:suppressAutoHyphens/>
              <w:jc w:val="center"/>
            </w:pPr>
            <w:r>
              <w:rPr>
                <w:sz w:val="18"/>
                <w:szCs w:val="18"/>
              </w:rPr>
              <w:t xml:space="preserve">D=7.78, P=25.8</w:t>
            </w:r>
          </w:p>
        </w:tc>
        <w:tc>
          <w:tcPr>
            <w:vAlign w:val="center"/>
          </w:tcPr>
          <w:p>
            <w:pPr>
              <w:pStyle w:val="Compact"/>
              <w:suppressAutoHyphens/>
              <w:jc w:val="center"/>
            </w:pPr>
            <w:r>
              <w:rPr>
                <w:sz w:val="18"/>
                <w:szCs w:val="18"/>
              </w:rPr>
              <w:t xml:space="preserve">D=7.99, P=29.6</w:t>
            </w:r>
          </w:p>
        </w:tc>
        <w:tc>
          <w:tcPr>
            <w:vAlign w:val="center"/>
          </w:tcPr>
          <w:p>
            <w:pPr>
              <w:pStyle w:val="Compact"/>
              <w:suppressAutoHyphens/>
              <w:jc w:val="center"/>
            </w:pPr>
            <w:r>
              <w:rPr>
                <w:sz w:val="18"/>
                <w:szCs w:val="18"/>
              </w:rPr>
              <w:t xml:space="preserve">−1.22 km s</w:t>
            </w:r>
            <w:r>
              <w:rPr>
                <w:vertAlign w:val="superscript"/>
                <w:sz w:val="18"/>
                <w:szCs w:val="18"/>
              </w:rPr>
              <w:t xml:space="preserve">−1</w:t>
            </w:r>
          </w:p>
        </w:tc>
      </w:tr>
      <w:tr>
        <w:tc>
          <w:tcPr>
            <w:vAlign w:val="center"/>
          </w:tcPr>
          <w:p>
            <w:pPr>
              <w:pStyle w:val="Compact"/>
              <w:suppressAutoHyphens/>
              <w:jc w:val="center"/>
            </w:pPr>
            <w:r>
              <w:rPr>
                <w:sz w:val="18"/>
                <w:szCs w:val="18"/>
              </w:rPr>
              <w:t xml:space="preserve">L9 hydrazinyl tetranitramine</w:t>
            </w:r>
          </w:p>
        </w:tc>
        <w:tc>
          <w:tcPr>
            <w:vAlign w:val="center"/>
          </w:tcPr>
          <w:p>
            <w:pPr>
              <w:pStyle w:val="Compact"/>
              <w:suppressAutoHyphens/>
              <w:jc w:val="center"/>
            </w:pPr>
            <w:r>
              <w:rPr>
                <w:sz w:val="18"/>
                <w:szCs w:val="18"/>
              </w:rPr>
              <w:t xml:space="preserve">D=9.27, ρ=1.88</w:t>
            </w:r>
          </w:p>
        </w:tc>
        <w:tc>
          <w:tcPr>
            <w:vAlign w:val="center"/>
          </w:tcPr>
          <w:p>
            <w:pPr>
              <w:pStyle w:val="Compact"/>
              <w:suppressAutoHyphens/>
              <w:jc w:val="center"/>
            </w:pPr>
            <w:r>
              <w:rPr>
                <w:sz w:val="18"/>
                <w:szCs w:val="18"/>
              </w:rPr>
              <w:t xml:space="preserve">D=6.44, P=17.6</w:t>
            </w:r>
          </w:p>
        </w:tc>
        <w:tc>
          <w:tcPr>
            <w:vAlign w:val="center"/>
          </w:tcPr>
          <w:p>
            <w:pPr>
              <w:pStyle w:val="Compact"/>
              <w:suppressAutoHyphens/>
              <w:jc w:val="center"/>
            </w:pPr>
            <w:r>
              <w:rPr>
                <w:sz w:val="18"/>
                <w:szCs w:val="18"/>
              </w:rPr>
              <w:t xml:space="preserve">D=7.33, P=24.6</w:t>
            </w:r>
          </w:p>
        </w:tc>
        <w:tc>
          <w:tcPr>
            <w:vAlign w:val="center"/>
          </w:tcPr>
          <w:p>
            <w:pPr>
              <w:pStyle w:val="Compact"/>
              <w:suppressAutoHyphens/>
              <w:jc w:val="center"/>
            </w:pPr>
            <w:r>
              <w:rPr>
                <w:sz w:val="18"/>
                <w:szCs w:val="18"/>
              </w:rPr>
              <w:t xml:space="preserve">−1.94 km s</w:t>
            </w:r>
            <w:r>
              <w:rPr>
                <w:vertAlign w:val="superscript"/>
                <w:sz w:val="18"/>
                <w:szCs w:val="18"/>
              </w:rPr>
              <w:t xml:space="preserve">−1</w:t>
            </w:r>
          </w:p>
        </w:tc>
      </w:tr>
      <w:tr>
        <w:tc>
          <w:tcPr>
            <w:vAlign w:val="center"/>
          </w:tcPr>
          <w:p>
            <w:pPr>
              <w:pStyle w:val="Compact"/>
              <w:suppressAutoHyphens/>
              <w:jc w:val="center"/>
            </w:pPr>
            <w:r>
              <w:rPr>
                <w:sz w:val="18"/>
                <w:szCs w:val="18"/>
              </w:rPr>
              <w:t xml:space="preserve">L11 acyl-nitramide nitrate-imine</w:t>
            </w:r>
          </w:p>
        </w:tc>
        <w:tc>
          <w:tcPr>
            <w:vAlign w:val="center"/>
          </w:tcPr>
          <w:p>
            <w:pPr>
              <w:pStyle w:val="Compact"/>
              <w:suppressAutoHyphens/>
              <w:jc w:val="center"/>
            </w:pPr>
            <w:r>
              <w:rPr>
                <w:sz w:val="18"/>
                <w:szCs w:val="18"/>
              </w:rPr>
              <w:t xml:space="preserve">D=9.30, ρ=1.90</w:t>
            </w:r>
          </w:p>
        </w:tc>
        <w:tc>
          <w:tcPr>
            <w:vAlign w:val="center"/>
          </w:tcPr>
          <w:p>
            <w:pPr>
              <w:pStyle w:val="Compact"/>
              <w:suppressAutoHyphens/>
              <w:jc w:val="center"/>
            </w:pPr>
            <w:r>
              <w:rPr>
                <w:sz w:val="18"/>
                <w:szCs w:val="18"/>
              </w:rPr>
              <w:t xml:space="preserve">D=6.97, P=20.5</w:t>
            </w:r>
          </w:p>
        </w:tc>
        <w:tc>
          <w:tcPr>
            <w:vAlign w:val="center"/>
          </w:tcPr>
          <w:p>
            <w:pPr>
              <w:pStyle w:val="Compact"/>
              <w:suppressAutoHyphens/>
              <w:jc w:val="center"/>
            </w:pPr>
            <w:r>
              <w:rPr>
                <w:sz w:val="18"/>
                <w:szCs w:val="18"/>
              </w:rPr>
              <w:t xml:space="preserve">D=7.88, P=28.5</w:t>
            </w:r>
          </w:p>
        </w:tc>
        <w:tc>
          <w:tcPr>
            <w:vAlign w:val="center"/>
          </w:tcPr>
          <w:p>
            <w:pPr>
              <w:pStyle w:val="Compact"/>
              <w:suppressAutoHyphens/>
              <w:jc w:val="center"/>
            </w:pPr>
            <w:r>
              <w:rPr>
                <w:sz w:val="18"/>
                <w:szCs w:val="18"/>
              </w:rPr>
              <w:t xml:space="preserve">−1.42 km s</w:t>
            </w:r>
            <w:r>
              <w:rPr>
                <w:vertAlign w:val="superscript"/>
                <w:sz w:val="18"/>
                <w:szCs w:val="18"/>
              </w:rPr>
              <w:t xml:space="preserve">−1</w:t>
            </w:r>
          </w:p>
        </w:tc>
      </w:tr>
      <w:tr>
        <w:tc>
          <w:tcPr>
            <w:vAlign w:val="center"/>
          </w:tcPr>
          <w:p>
            <w:pPr>
              <w:pStyle w:val="Compact"/>
              <w:suppressAutoHyphens/>
              <w:jc w:val="center"/>
            </w:pPr>
            <w:r>
              <w:rPr>
                <w:sz w:val="18"/>
                <w:szCs w:val="18"/>
              </w:rPr>
              <w:t xml:space="preserve">L13 oxadiazoline</w:t>
            </w:r>
          </w:p>
        </w:tc>
        <w:tc>
          <w:tcPr>
            <w:vAlign w:val="center"/>
          </w:tcPr>
          <w:p>
            <w:pPr>
              <w:pStyle w:val="Compact"/>
              <w:suppressAutoHyphens/>
              <w:jc w:val="center"/>
            </w:pPr>
            <w:r>
              <w:rPr>
                <w:sz w:val="18"/>
                <w:szCs w:val="18"/>
              </w:rPr>
              <w:t xml:space="preserve">D=9.05, ρ=1.87</w:t>
            </w:r>
          </w:p>
        </w:tc>
        <w:tc>
          <w:tcPr>
            <w:vAlign w:val="center"/>
          </w:tcPr>
          <w:p>
            <w:pPr>
              <w:pStyle w:val="Compact"/>
              <w:suppressAutoHyphens/>
              <w:jc w:val="center"/>
            </w:pPr>
            <w:r>
              <w:rPr>
                <w:sz w:val="18"/>
                <w:szCs w:val="18"/>
              </w:rPr>
              <w:t xml:space="preserve">D=6.39, P=17.0</w:t>
            </w:r>
          </w:p>
        </w:tc>
        <w:tc>
          <w:tcPr>
            <w:vAlign w:val="center"/>
          </w:tcPr>
          <w:p>
            <w:pPr>
              <w:pStyle w:val="Compact"/>
              <w:suppressAutoHyphens/>
              <w:jc w:val="center"/>
            </w:pPr>
            <w:r>
              <w:rPr>
                <w:sz w:val="18"/>
                <w:szCs w:val="18"/>
              </w:rPr>
              <w:t xml:space="preserve">D=7.36, P=24.5</w:t>
            </w:r>
          </w:p>
        </w:tc>
        <w:tc>
          <w:tcPr>
            <w:vAlign w:val="center"/>
          </w:tcPr>
          <w:p>
            <w:pPr>
              <w:pStyle w:val="Compact"/>
              <w:suppressAutoHyphens/>
              <w:jc w:val="center"/>
            </w:pPr>
            <w:r>
              <w:rPr>
                <w:sz w:val="18"/>
                <w:szCs w:val="18"/>
              </w:rPr>
              <w:t xml:space="preserve">−1.69 km s</w:t>
            </w:r>
            <w:r>
              <w:rPr>
                <w:vertAlign w:val="superscript"/>
                <w:sz w:val="18"/>
                <w:szCs w:val="18"/>
              </w:rPr>
              <w:t xml:space="preserve">−1</w:t>
            </w:r>
          </w:p>
        </w:tc>
      </w:tr>
      <w:tr>
        <w:tc>
          <w:tcPr>
            <w:vAlign w:val="center"/>
          </w:tcPr>
          <w:p>
            <w:pPr>
              <w:pStyle w:val="Compact"/>
              <w:suppressAutoHyphens/>
              <w:jc w:val="center"/>
            </w:pPr>
            <w:r>
              <w:rPr>
                <w:sz w:val="18"/>
                <w:szCs w:val="18"/>
              </w:rPr>
              <w:t xml:space="preserve">L16 oxadiazinone-N-nitramine (alt SMILES)</w:t>
            </w:r>
          </w:p>
        </w:tc>
        <w:tc>
          <w:tcPr>
            <w:vAlign w:val="center"/>
          </w:tcPr>
          <w:p>
            <w:pPr>
              <w:pStyle w:val="Compact"/>
              <w:suppressAutoHyphens/>
              <w:jc w:val="center"/>
            </w:pPr>
            <w:r>
              <w:rPr>
                <w:sz w:val="18"/>
                <w:szCs w:val="18"/>
              </w:rPr>
              <w:t xml:space="preserve">D=9.11, ρ=1.93</w:t>
            </w:r>
          </w:p>
        </w:tc>
        <w:tc>
          <w:tcPr>
            <w:vAlign w:val="center"/>
          </w:tcPr>
          <w:p>
            <w:pPr>
              <w:pStyle w:val="Compact"/>
              <w:suppressAutoHyphens/>
              <w:jc w:val="center"/>
            </w:pPr>
            <w:r>
              <w:rPr>
                <w:sz w:val="18"/>
                <w:szCs w:val="18"/>
              </w:rPr>
              <w:t xml:space="preserve">D=6.50, P=18.3</w:t>
            </w:r>
          </w:p>
        </w:tc>
        <w:tc>
          <w:tcPr>
            <w:vAlign w:val="center"/>
          </w:tcPr>
          <w:p>
            <w:pPr>
              <w:pStyle w:val="Compact"/>
              <w:suppressAutoHyphens/>
              <w:jc w:val="center"/>
            </w:pPr>
            <w:r>
              <w:rPr>
                <w:sz w:val="18"/>
                <w:szCs w:val="18"/>
              </w:rPr>
              <w:t xml:space="preserve">D=7.50, P=26.5</w:t>
            </w:r>
          </w:p>
        </w:tc>
        <w:tc>
          <w:tcPr>
            <w:vAlign w:val="center"/>
          </w:tcPr>
          <w:p>
            <w:pPr>
              <w:pStyle w:val="Compact"/>
              <w:suppressAutoHyphens/>
              <w:jc w:val="center"/>
            </w:pPr>
            <w:r>
              <w:rPr>
                <w:sz w:val="18"/>
                <w:szCs w:val="18"/>
              </w:rPr>
              <w:t xml:space="preserve">−1.61 km s</w:t>
            </w:r>
            <w:r>
              <w:rPr>
                <w:vertAlign w:val="superscript"/>
                <w:sz w:val="18"/>
                <w:szCs w:val="18"/>
              </w:rPr>
              <w:t xml:space="preserve">−1</w:t>
            </w:r>
          </w:p>
        </w:tc>
      </w:tr>
      <w:tr>
        <w:tc>
          <w:tcPr>
            <w:vAlign w:val="center"/>
          </w:tcPr>
          <w:p>
            <w:pPr>
              <w:pStyle w:val="Compact"/>
              <w:suppressAutoHyphens/>
              <w:jc w:val="center"/>
            </w:pPr>
            <w:r>
              <w:rPr>
                <w:sz w:val="18"/>
                <w:szCs w:val="18"/>
              </w:rPr>
              <w:t xml:space="preserve">L18 vinyl azo-amino nitrate</w:t>
            </w:r>
          </w:p>
        </w:tc>
        <w:tc>
          <w:tcPr>
            <w:vAlign w:val="center"/>
          </w:tcPr>
          <w:p>
            <w:pPr>
              <w:pStyle w:val="Compact"/>
              <w:suppressAutoHyphens/>
              <w:jc w:val="center"/>
            </w:pPr>
            <w:r>
              <w:rPr>
                <w:sz w:val="18"/>
                <w:szCs w:val="18"/>
              </w:rPr>
              <w:t xml:space="preserve">D=9.00, ρ=1.89</w:t>
            </w:r>
          </w:p>
        </w:tc>
        <w:tc>
          <w:tcPr>
            <w:vAlign w:val="center"/>
          </w:tcPr>
          <w:p>
            <w:pPr>
              <w:pStyle w:val="Compact"/>
              <w:suppressAutoHyphens/>
              <w:jc w:val="center"/>
            </w:pPr>
            <w:r>
              <w:rPr>
                <w:sz w:val="18"/>
                <w:szCs w:val="18"/>
              </w:rPr>
              <w:t xml:space="preserve">D=6.21, P=16.0</w:t>
            </w:r>
          </w:p>
        </w:tc>
        <w:tc>
          <w:tcPr>
            <w:vAlign w:val="center"/>
          </w:tcPr>
          <w:p>
            <w:pPr>
              <w:pStyle w:val="Compact"/>
              <w:suppressAutoHyphens/>
              <w:jc w:val="center"/>
            </w:pPr>
            <w:r>
              <w:rPr>
                <w:sz w:val="18"/>
                <w:szCs w:val="18"/>
              </w:rPr>
              <w:t xml:space="preserve">D=7.09, P=22.6</w:t>
            </w:r>
          </w:p>
        </w:tc>
        <w:tc>
          <w:tcPr>
            <w:vAlign w:val="center"/>
          </w:tcPr>
          <w:p>
            <w:pPr>
              <w:pStyle w:val="Compact"/>
              <w:suppressAutoHyphens/>
              <w:jc w:val="center"/>
            </w:pPr>
            <w:r>
              <w:rPr>
                <w:sz w:val="18"/>
                <w:szCs w:val="18"/>
              </w:rPr>
              <w:t xml:space="preserve">−1.91 km s</w:t>
            </w:r>
            <w:r>
              <w:rPr>
                <w:vertAlign w:val="superscript"/>
                <w:sz w:val="18"/>
                <w:szCs w:val="18"/>
              </w:rPr>
              <w:t xml:space="preserve">−1</w:t>
            </w:r>
          </w:p>
        </w:tc>
      </w:tr>
      <w:tr>
        <w:tc>
          <w:tcPr>
            <w:vAlign w:val="center"/>
          </w:tcPr>
          <w:p>
            <w:pPr>
              <w:pStyle w:val="Compact"/>
              <w:suppressAutoHyphens/>
              <w:jc w:val="center"/>
            </w:pPr>
            <w:r>
              <w:rPr>
                <w:sz w:val="18"/>
                <w:szCs w:val="18"/>
              </w:rPr>
              <w:t xml:space="preserve">L19 acyl C-OH nitramine</w:t>
            </w:r>
          </w:p>
        </w:tc>
        <w:tc>
          <w:tcPr>
            <w:vAlign w:val="center"/>
          </w:tcPr>
          <w:p>
            <w:pPr>
              <w:pStyle w:val="Compact"/>
              <w:suppressAutoHyphens/>
              <w:jc w:val="center"/>
            </w:pPr>
            <w:r>
              <w:rPr>
                <w:sz w:val="18"/>
                <w:szCs w:val="18"/>
              </w:rPr>
              <w:t xml:space="preserve">D=9.14, ρ=1.88</w:t>
            </w:r>
          </w:p>
        </w:tc>
        <w:tc>
          <w:tcPr>
            <w:vAlign w:val="center"/>
          </w:tcPr>
          <w:p>
            <w:pPr>
              <w:pStyle w:val="Compact"/>
              <w:suppressAutoHyphens/>
              <w:jc w:val="center"/>
            </w:pPr>
            <w:r>
              <w:rPr>
                <w:sz w:val="18"/>
                <w:szCs w:val="18"/>
              </w:rPr>
              <w:t xml:space="preserve">D=7.24, P=22.2</w:t>
            </w:r>
          </w:p>
        </w:tc>
        <w:tc>
          <w:tcPr>
            <w:vAlign w:val="center"/>
          </w:tcPr>
          <w:p>
            <w:pPr>
              <w:pStyle w:val="Compact"/>
              <w:suppressAutoHyphens/>
              <w:jc w:val="center"/>
            </w:pPr>
            <w:r>
              <w:rPr>
                <w:sz w:val="18"/>
                <w:szCs w:val="18"/>
              </w:rPr>
              <w:t xml:space="preserve">D=7.24, P=24.0</w:t>
            </w:r>
          </w:p>
        </w:tc>
        <w:tc>
          <w:tcPr>
            <w:vAlign w:val="center"/>
          </w:tcPr>
          <w:p>
            <w:pPr>
              <w:pStyle w:val="Compact"/>
              <w:suppressAutoHyphens/>
              <w:jc w:val="center"/>
            </w:pPr>
            <w:r>
              <w:rPr>
                <w:sz w:val="18"/>
                <w:szCs w:val="18"/>
              </w:rPr>
              <w:t xml:space="preserve">−1.90 km s</w:t>
            </w:r>
            <w:r>
              <w:rPr>
                <w:vertAlign w:val="superscript"/>
                <w:sz w:val="18"/>
                <w:szCs w:val="18"/>
              </w:rPr>
              <w:t xml:space="preserve">−1</w:t>
            </w:r>
          </w:p>
        </w:tc>
      </w:tr>
      <w:tr>
        <w:tc>
          <w:tcPr>
            <w:vAlign w:val="center"/>
          </w:tcPr>
          <w:p>
            <w:pPr>
              <w:pStyle w:val="Compact"/>
              <w:suppressAutoHyphens/>
              <w:jc w:val="center"/>
            </w:pPr>
            <w:r>
              <w:rPr>
                <w:sz w:val="18"/>
                <w:szCs w:val="18"/>
              </w:rPr>
              <w:t xml:space="preserve">L20</w:t>
            </w:r>
            <w:r>
              <w:rPr>
                <w:sz w:val="18"/>
                <w:szCs w:val="18"/>
              </w:rPr>
              <w:t xml:space="preserve"> </w:t>
            </w:r>
            <m:oMath>
              <m:r>
                <w:rPr>
                  <w:sz w:val="18"/>
                  <w:szCs w:val="18"/>
                </w:rPr>
                <m:t>α</m:t>
              </m:r>
            </m:oMath>
            <w:r>
              <w:rPr>
                <w:sz w:val="18"/>
                <w:szCs w:val="18"/>
              </w:rPr>
              <w:t xml:space="preserve">-NO</w:t>
            </w:r>
            <w:r>
              <w:rPr>
                <w:vertAlign w:val="subscript"/>
                <w:sz w:val="18"/>
                <w:szCs w:val="18"/>
              </w:rPr>
              <w:t xml:space="preserve">2</w:t>
            </w:r>
            <w:r>
              <w:rPr>
                <w:sz w:val="18"/>
                <w:szCs w:val="18"/>
              </w:rPr>
              <w:t xml:space="preserve"> </w:t>
            </w:r>
            <w:r>
              <w:rPr>
                <w:sz w:val="18"/>
                <w:szCs w:val="18"/>
              </w:rPr>
              <w:t xml:space="preserve">acyl-N-nitramine</w:t>
            </w:r>
          </w:p>
        </w:tc>
        <w:tc>
          <w:tcPr>
            <w:vAlign w:val="center"/>
          </w:tcPr>
          <w:p>
            <w:pPr>
              <w:pStyle w:val="Compact"/>
              <w:suppressAutoHyphens/>
              <w:jc w:val="center"/>
            </w:pPr>
            <w:r>
              <w:rPr>
                <w:sz w:val="18"/>
                <w:szCs w:val="18"/>
              </w:rPr>
              <w:t xml:space="preserve">D=9.12, ρ=1.91</w:t>
            </w:r>
          </w:p>
        </w:tc>
        <w:tc>
          <w:tcPr>
            <w:vAlign w:val="center"/>
          </w:tcPr>
          <w:p>
            <w:pPr>
              <w:pStyle w:val="Compact"/>
              <w:suppressAutoHyphens/>
              <w:jc w:val="center"/>
            </w:pPr>
            <w:r>
              <w:rPr>
                <w:sz w:val="18"/>
                <w:szCs w:val="18"/>
              </w:rPr>
              <w:t xml:space="preserve">D=6.40, P=17.7</w:t>
            </w:r>
          </w:p>
        </w:tc>
        <w:tc>
          <w:tcPr>
            <w:vAlign w:val="center"/>
          </w:tcPr>
          <w:p>
            <w:pPr>
              <w:pStyle w:val="Compact"/>
              <w:suppressAutoHyphens/>
              <w:jc w:val="center"/>
            </w:pPr>
            <w:r>
              <w:rPr>
                <w:sz w:val="18"/>
                <w:szCs w:val="18"/>
              </w:rPr>
              <w:t xml:space="preserve">D=7.41, P=25.8</w:t>
            </w:r>
          </w:p>
        </w:tc>
        <w:tc>
          <w:tcPr>
            <w:vAlign w:val="center"/>
          </w:tcPr>
          <w:p>
            <w:pPr>
              <w:pStyle w:val="Compact"/>
              <w:suppressAutoHyphens/>
              <w:jc w:val="center"/>
            </w:pPr>
            <w:r>
              <w:rPr>
                <w:sz w:val="18"/>
                <w:szCs w:val="18"/>
              </w:rPr>
              <w:t xml:space="preserve">−1.71 km s</w:t>
            </w:r>
            <w:r>
              <w:rPr>
                <w:vertAlign w:val="superscript"/>
                <w:sz w:val="18"/>
                <w:szCs w:val="18"/>
              </w:rPr>
              <w:t xml:space="preserve">−1</w:t>
            </w:r>
          </w:p>
        </w:tc>
      </w:tr>
      <w:tr>
        <w:tc>
          <w:tcPr>
            <w:vAlign w:val="center"/>
          </w:tcPr>
          <w:p>
            <w:pPr>
              <w:pStyle w:val="Compact"/>
              <w:suppressAutoHyphens/>
              <w:jc w:val="center"/>
            </w:pPr>
            <w:r>
              <w:rPr>
                <w:b/>
                <w:bCs/>
                <w:sz w:val="18"/>
                <w:szCs w:val="18"/>
              </w:rPr>
              <w:t xml:space="preserve">RDX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D=8.75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D=7.43, P=25.0</w:t>
            </w:r>
          </w:p>
        </w:tc>
        <w:tc>
          <w:tcPr>
            <w:vAlign w:val="center"/>
          </w:tcPr>
          <w:p>
            <w:pPr>
              <w:pStyle w:val="Compact"/>
              <w:suppressAutoHyphens/>
              <w:jc w:val="center"/>
            </w:pPr>
            <w:r>
              <w:rPr>
                <w:sz w:val="18"/>
                <w:szCs w:val="18"/>
              </w:rPr>
              <w:t xml:space="preserve">−1.32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TATB</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D=6.93, P=22.0</w:t>
            </w:r>
          </w:p>
        </w:tc>
        <w:tc>
          <w:tcPr>
            <w:vAlign w:val="center"/>
          </w:tcPr>
          <w:p>
            <w:pPr>
              <w:pStyle w:val="Compact"/>
              <w:suppressAutoHyphens/>
              <w:jc w:val="center"/>
            </w:pPr>
            <w:r>
              <w:rPr>
                <w:sz w:val="18"/>
                <w:szCs w:val="18"/>
              </w:rPr>
              <w:t xml:space="preserve">−0.97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HMX</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D=9.10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D=7.52, P=26.2</w:t>
            </w:r>
          </w:p>
        </w:tc>
        <w:tc>
          <w:tcPr>
            <w:vAlign w:val="center"/>
          </w:tcPr>
          <w:p>
            <w:pPr>
              <w:pStyle w:val="Compact"/>
              <w:suppressAutoHyphens/>
              <w:jc w:val="center"/>
            </w:pPr>
            <w:r>
              <w:rPr>
                <w:sz w:val="18"/>
                <w:szCs w:val="18"/>
              </w:rPr>
              <w:t xml:space="preserve">−1.58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PETN</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D=8.30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D=8.24, P=30.6</w:t>
            </w:r>
          </w:p>
        </w:tc>
        <w:tc>
          <w:tcPr>
            <w:vAlign w:val="center"/>
          </w:tcPr>
          <w:p>
            <w:pPr>
              <w:pStyle w:val="Compact"/>
              <w:suppressAutoHyphens/>
              <w:jc w:val="center"/>
            </w:pPr>
            <w:r>
              <w:rPr>
                <w:sz w:val="18"/>
                <w:szCs w:val="18"/>
              </w:rPr>
              <w:t xml:space="preserve">−0.06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FOX-7</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D=8.87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D=7.70, P=26.5</w:t>
            </w:r>
          </w:p>
        </w:tc>
        <w:tc>
          <w:tcPr>
            <w:vAlign w:val="center"/>
          </w:tcPr>
          <w:p>
            <w:pPr>
              <w:pStyle w:val="Compact"/>
              <w:suppressAutoHyphens/>
              <w:jc w:val="center"/>
            </w:pPr>
            <w:r>
              <w:rPr>
                <w:sz w:val="18"/>
                <w:szCs w:val="18"/>
              </w:rPr>
              <w:t xml:space="preserve">−1.17 km s</w:t>
            </w:r>
            <w:r>
              <w:rPr>
                <w:vertAlign w:val="superscript"/>
                <w:sz w:val="18"/>
                <w:szCs w:val="18"/>
              </w:rPr>
              <w:t xml:space="preserve">−1</w:t>
            </w:r>
            <w:r>
              <w:rPr>
                <w:sz w:val="18"/>
                <w:szCs w:val="18"/>
              </w:rPr>
              <w:t xml:space="preserve"> </w:t>
            </w:r>
            <w:r>
              <w:rPr>
                <w:sz w:val="18"/>
                <w:szCs w:val="18"/>
              </w:rPr>
              <w:t xml:space="preserve">(vs exp)</w:t>
            </w:r>
          </w:p>
        </w:tc>
      </w:tr>
      <w:tr>
        <w:tc>
          <w:tcPr>
            <w:vAlign w:val="center"/>
          </w:tcPr>
          <w:p>
            <w:pPr>
              <w:pStyle w:val="Compact"/>
              <w:suppressAutoHyphens/>
              <w:jc w:val="center"/>
            </w:pPr>
            <w:r>
              <w:rPr>
                <w:b/>
                <w:bCs/>
                <w:sz w:val="18"/>
                <w:szCs w:val="18"/>
              </w:rPr>
              <w:t xml:space="preserve">NTO</w:t>
            </w:r>
            <w:r>
              <w:rPr>
                <w:sz w:val="18"/>
                <w:szCs w:val="18"/>
              </w:rPr>
              <w:t xml:space="preserve"> </w:t>
            </w:r>
            <w:r>
              <w:rPr>
                <w:sz w:val="18"/>
                <w:szCs w:val="18"/>
              </w:rPr>
              <w:t xml:space="preserve">(anchor)</w:t>
            </w:r>
          </w:p>
        </w:tc>
        <w:tc>
          <w:tcPr>
            <w:vAlign w:val="center"/>
          </w:tcPr>
          <w:p>
            <w:pPr>
              <w:pStyle w:val="Compact"/>
              <w:suppressAutoHyphens/>
              <w:jc w:val="center"/>
            </w:pPr>
            <w:r>
              <w:rPr>
                <w:sz w:val="18"/>
                <w:szCs w:val="18"/>
              </w:rPr>
              <w:t xml:space="preserve">D=7.93 (exp)</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D=7.49, P=25.6</w:t>
            </w:r>
          </w:p>
        </w:tc>
        <w:tc>
          <w:tcPr>
            <w:vAlign w:val="center"/>
          </w:tcPr>
          <w:p>
            <w:pPr>
              <w:pStyle w:val="Compact"/>
              <w:suppressAutoHyphens/>
              <w:jc w:val="center"/>
            </w:pPr>
            <w:r>
              <w:rPr>
                <w:sz w:val="18"/>
                <w:szCs w:val="18"/>
              </w:rPr>
              <w:t xml:space="preserve">−0.44 km s</w:t>
            </w:r>
            <w:r>
              <w:rPr>
                <w:vertAlign w:val="superscript"/>
                <w:sz w:val="18"/>
                <w:szCs w:val="18"/>
              </w:rPr>
              <w:t xml:space="preserve">−1</w:t>
            </w:r>
            <w:r>
              <w:rPr>
                <w:sz w:val="18"/>
                <w:szCs w:val="18"/>
              </w:rPr>
              <w:t xml:space="preserve"> </w:t>
            </w:r>
            <w:r>
              <w:rPr>
                <w:sz w:val="18"/>
                <w:szCs w:val="18"/>
              </w:rPr>
              <w:t xml:space="preserve">(vs exp)</w:t>
            </w:r>
          </w:p>
        </w:tc>
      </w:tr>
    </w:tbl>
    <w:p>
      <w:pPr>
        <w:pStyle w:val="MDPI18keywords"/>
        <w:ind w:left="2608"/>
      </w:pPr>
      <w:r>
        <w:rPr>
          <w:b/>
          <w:bCs/>
        </w:rPr>
        <w:t xml:space="preserve">Reading Table S10.</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 s</w:t>
      </w:r>
      <w:r>
        <w:rPr>
          <w:vertAlign w:val="superscript"/>
        </w:rPr>
        <w:t xml:space="preserve">−1</w:t>
      </w:r>
      <w:r>
        <w:t xml:space="preserve"> </w:t>
      </w:r>
      <w:r>
        <w:t xml:space="preserve">below experiment, with a mean of</w:t>
      </w:r>
      <w:r>
        <w:t xml:space="preserve"> </w:t>
      </w:r>
      <m:oMath>
        <m:r>
          <m:rPr>
            <m:sty m:val="p"/>
          </m:rPr>
          <m:t>−</m:t>
        </m:r>
        <m:r>
          <m:t>0.92</m:t>
        </m:r>
      </m:oMath>
      <w:r>
        <w:t xml:space="preserve"> km s</w:t>
      </w:r>
      <w:r>
        <w:rPr>
          <w:vertAlign w:val="superscript"/>
        </w:rPr>
        <w:t xml:space="preserve">−1</w:t>
      </w:r>
      <w:r>
        <w:t xml:space="preserve">. Lead residuals against the Uni-Mol surrogate (</w:t>
      </w:r>
      <m:oMath>
        <m:r>
          <m:rPr>
            <m:sty m:val="p"/>
          </m:rPr>
          <m:t>−</m:t>
        </m:r>
        <m:r>
          <m:t>1.18</m:t>
        </m:r>
      </m:oMath>
      <w:r>
        <w:t xml:space="preserve"> </w:t>
      </w:r>
      <w:r>
        <w:t xml:space="preserve">to</w:t>
      </w:r>
      <w:r>
        <w:t xml:space="preserve"> </w:t>
      </w:r>
      <m:oMath>
        <m:r>
          <m:rPr>
            <m:sty m:val="p"/>
          </m:rPr>
          <m:t>−</m:t>
        </m:r>
        <m:r>
          <m:t>2.27</m:t>
        </m:r>
      </m:oMath>
      <w:r>
        <w:t xml:space="preserve"> km s</w:t>
      </w:r>
      <w:r>
        <w:rPr>
          <w:vertAlign w:val="superscript"/>
        </w:rPr>
        <w:t xml:space="preserve">−1</w:t>
      </w:r>
      <w:r>
        <w:t xml:space="preserve">, mean</w:t>
      </w:r>
      <w:r>
        <w:t xml:space="preserve"> </w:t>
      </w:r>
      <m:oMath>
        <m:r>
          <m:rPr>
            <m:sty m:val="p"/>
          </m:rPr>
          <m:t>−</m:t>
        </m:r>
        <m:r>
          <m:t>1.66</m:t>
        </m:r>
      </m:oMath>
      <w:r>
        <w:t xml:space="preserve"> km s</w:t>
      </w:r>
      <w:r>
        <w:rPr>
          <w:vertAlign w:val="superscript"/>
        </w:rPr>
        <w:t xml:space="preserve">−1</w:t>
      </w:r>
      <w:r>
        <w:t xml:space="preserve">) sit comfortably inside this anchor-defined band, and the</w:t>
      </w:r>
      <w:r>
        <w:t xml:space="preserve"> </w:t>
      </w:r>
      <m:oMath>
        <m:r>
          <m:rPr>
            <m:sty m:val="p"/>
          </m:rPr>
          <m:t>−</m:t>
        </m:r>
        <m:r>
          <m:t>1.31</m:t>
        </m:r>
      </m:oMath>
      <w:r>
        <w:t xml:space="preserve"> km s</w:t>
      </w:r>
      <w:r>
        <w:rPr>
          <w:vertAlign w:val="superscript"/>
        </w:rPr>
        <w:t xml:space="preserve">−1</w:t>
      </w:r>
      <w:r>
        <w:t xml:space="preserve"> </w:t>
      </w:r>
      <w:r>
        <w:t xml:space="preserve">residual on L1 is one of the smallest in the lead set, consistent with L1's HMX-class regime placement.</w:t>
      </w:r>
    </w:p>
    <w:p>
      <w:pPr>
        <w:pStyle w:val="MDPI18keywords"/>
        <w:ind w:left="2608"/>
      </w:pPr>
      <w:r>
        <w:rPr>
          <w:b/>
          <w:bCs/>
        </w:rPr>
        <w:t xml:space="preserve">C.5.1 E1 stability caveat: 1,2,3,5-oxatriazole stability literature.</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 mol</w:t>
      </w:r>
      <w:r>
        <w:rPr>
          <w:vertAlign w:val="superscript"/>
        </w:rPr>
        <w:t xml:space="preserve">−1</w:t>
      </w:r>
      <w:r>
        <w:t xml:space="preserve"> </w:t>
      </w:r>
      <w:r>
        <w:t xml:space="preserve">depending on substituents, vs 250–290 kJ mol</w:t>
      </w:r>
      <w:r>
        <w:rPr>
          <w:vertAlign w:val="superscript"/>
        </w:rPr>
        <w:t xml:space="preserve">−1</w:t>
      </w:r>
      <w:r>
        <w:t xml:space="preserve"> </w:t>
      </w:r>
      <w:r>
        <w:t xml:space="preserve">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Supplementary Section C.10 GFN2-xTB BDE scan places E1's weakest cleavage at</w:t>
      </w:r>
      <w:r>
        <w:t xml:space="preserve"> </w:t>
      </w:r>
      <m:oMath>
        <m:r>
          <m:t>92.7</m:t>
        </m:r>
      </m:oMath>
      <w:r>
        <w:t xml:space="preserve"> kcal mol</w:t>
      </w:r>
      <w:r>
        <w:rPr>
          <w:vertAlign w:val="superscript"/>
        </w:rPr>
        <w:t xml:space="preserve">−1</w:t>
      </w:r>
      <w:r>
        <w:t xml:space="preserve"> </w:t>
      </w:r>
      <w:r>
        <w:t xml:space="preserve">on the exocyclic C–NO</w:t>
      </w:r>
      <w:r>
        <w:rPr>
          <w:vertAlign w:val="subscript"/>
        </w:rPr>
        <w:t xml:space="preserve">2</w:t>
      </w:r>
      <w:r>
        <w:t xml:space="preserve"> </w:t>
      </w:r>
      <w:r>
        <w:t xml:space="preserve">bond and finds no ring N–O channel below</w:t>
      </w:r>
      <w:r>
        <w:t xml:space="preserve"> </w:t>
      </w:r>
      <m:oMath>
        <m:r>
          <m:t>180</m:t>
        </m:r>
      </m:oMath>
      <w:r>
        <w:t xml:space="preserve"> kcal mol</w:t>
      </w:r>
      <w:r>
        <w:rPr>
          <w:vertAlign w:val="superscript"/>
        </w:rPr>
        <w:t xml:space="preserve">−1</w:t>
      </w:r>
      <w:r>
        <w:t xml:space="preserve"> </w:t>
      </w:r>
      <w:r>
        <w:t xml:space="preserve">on a vertical cleavage from the parent geometry; the literature endocyclic-O–N value (130–155 kJ mol</w:t>
      </w:r>
      <w:r>
        <w:rPr>
          <w:vertAlign w:val="superscript"/>
        </w:rPr>
        <w:t xml:space="preserve">−1</w:t>
      </w:r>
      <w:r>
        <w:t xml:space="preserve"> </w:t>
      </w:r>
      <m:oMath>
        <m:r>
          <m:rPr>
            <m:sty m:val="p"/>
          </m:rPr>
          <m:t>≈</m:t>
        </m:r>
      </m:oMath>
      <w:r>
        <w:t xml:space="preserve"> </w:t>
      </w:r>
      <w:r>
        <w:t xml:space="preserve">31–37 kcal mol</w:t>
      </w:r>
      <w:r>
        <w:rPr>
          <w:vertAlign w:val="superscript"/>
        </w:rPr>
        <w:t xml:space="preserve">−1</w:t>
      </w:r>
      <w:r>
        <w:t xml:space="preserve">)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second-family candidate, but a relaxed-pathway BDE recompute and DSC/TGA screen are prerequisites for synthesis priority.</w:t>
      </w:r>
    </w:p>
    <w:p>
      <w:pPr>
        <w:pStyle w:val="MDPI18keywords"/>
        <w:ind w:left="2608"/>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 s</w:t>
      </w:r>
      <w:r>
        <w:rPr>
          <w:vertAlign w:val="superscript"/>
        </w:rPr>
        <w:t xml:space="preserve">−1</w:t>
      </w:r>
      <w:r>
        <w:t xml:space="preserve"> </w:t>
      </w:r>
      <w:r>
        <w:t xml:space="preserve">against a Uni-Mol prediction of</w:t>
      </w:r>
      <w:r>
        <w:t xml:space="preserve"> </w:t>
      </w:r>
      <m:oMath>
        <m:r>
          <m:t>8.98</m:t>
        </m:r>
      </m:oMath>
      <w:r>
        <w:t xml:space="preserve"> km s</w:t>
      </w:r>
      <w:r>
        <w:rPr>
          <w:vertAlign w:val="superscript"/>
        </w:rPr>
        <w:t xml:space="preserve">−1</w:t>
      </w:r>
      <w:r>
        <w:t xml:space="preserve">, giving a residual of</w:t>
      </w:r>
      <w: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t xml:space="preserve"> km s</w:t>
      </w:r>
      <w:r>
        <w:rPr>
          <w:vertAlign w:val="superscript"/>
        </w:rPr>
        <w:t xml:space="preserve">−1</w:t>
      </w:r>
      <w:r>
        <w:t xml:space="preserve"> </w:t>
      </w:r>
      <w:r>
        <w:t xml:space="preserve">(Table S10).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MDPI41tablecaption"/>
        <w:ind w:left="2608"/>
      </w:pPr>
      <w:r>
        <w:rPr>
          <w:b/>
          <w:bCs/>
        </w:rPr>
        <w:t xml:space="preserve">Table S11.</w:t>
      </w:r>
      <w:r>
        <w:t xml:space="preserve"> </w:t>
      </w:r>
      <w:r>
        <w:t xml:space="preserve">K-J residual decomposition by</w:t>
      </w:r>
      <w:r>
        <w:t xml:space="preserve"> </w:t>
      </w:r>
      <m:oMath>
        <m:r>
          <m:t>ρ</m:t>
        </m:r>
      </m:oMath>
      <w:r>
        <w:t xml:space="preserve">/HOF sensitivity for L4 (Uni-Mol</w:t>
      </w:r>
      <w:r>
        <w:t xml:space="preserve"> </w:t>
      </w:r>
      <m:oMath>
        <m:r>
          <m:t>D</m:t>
        </m:r>
      </m:oMath>
      <w:r>
        <w:t xml:space="preserve">=8.98 km s</w:t>
      </w:r>
      <w:r>
        <w:rPr>
          <w:vertAlign w:val="superscript"/>
        </w:rPr>
        <w:t xml:space="preserve">−1</w:t>
      </w:r>
      <w:r>
        <w:t xml:space="preserve">, 6-anchor-calibrated K-J</w:t>
      </w:r>
      <w:r>
        <w:t xml:space="preserve"> </w:t>
      </w:r>
      <m:oMath>
        <m:r>
          <m:t>D</m:t>
        </m:r>
      </m:oMath>
      <w:r>
        <w:t xml:space="preserve">=6.71 km s</w:t>
      </w:r>
      <w:r>
        <w:rPr>
          <w:vertAlign w:val="superscript"/>
        </w:rPr>
        <w:t xml:space="preserve">−1</w:t>
      </w:r>
      <w:r>
        <w:t xml:space="preserve">, residual = </w:t>
      </w:r>
      <m:oMath>
        <m:r>
          <m:rPr>
            <m:sty m:val="p"/>
          </m:rPr>
          <m:t>−</m:t>
        </m:r>
        <m:r>
          <m:t>2.27</m:t>
        </m:r>
      </m:oMath>
      <w:r>
        <w:t xml:space="preserve"> km s</w:t>
      </w:r>
      <w:r>
        <w:rPr>
          <w:vertAlign w:val="superscript"/>
        </w:rPr>
        <w:t xml:space="preserve">−1</w:t>
      </w:r>
      <w:r>
        <w:t xml:space="preserve">).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27"/>
        <w:gridCol w:w="3230"/>
        <w:gridCol w:w="3001"/>
      </w:tblGrid>
      <w:tr>
        <w:trPr>
          <w:tblHeader w:val="on"/>
        </w:trPr>
        <w:tc>
          <w:tcPr>
            <w:tcBorders>
              <w:bottom w:val="single" w:sz="8" w:space="0" w:color="auto"/>
            </w:tcBorders>
            <w:vAlign w:val="center"/>
          </w:tcPr>
          <w:p>
            <w:pPr>
              <w:pStyle w:val="Compact"/>
              <w:suppressAutoHyphens/>
              <w:jc w:val="center"/>
            </w:pPr>
            <w:r>
              <w:rPr>
                <w:b/>
                <w:sz w:val="18"/>
                <w:szCs w:val="18"/>
              </w:rPr>
              <w:t xml:space="preserve">Mechanism</w:t>
            </w:r>
          </w:p>
        </w:tc>
        <w:tc>
          <w:tcPr>
            <w:tcBorders>
              <w:bottom w:val="single" w:sz="8" w:space="0" w:color="auto"/>
            </w:tcBorders>
            <w:vAlign w:val="center"/>
          </w:tcPr>
          <w:p>
            <w:pPr>
              <w:pStyle w:val="Compact"/>
              <w:suppressAutoHyphens/>
              <w:jc w:val="center"/>
            </w:pPr>
            <w:r>
              <w:rPr>
                <w:b/>
                <w:sz w:val="18"/>
                <w:szCs w:val="18"/>
              </w:rPr>
              <w:t xml:space="preserve">Required correction</w:t>
            </w:r>
          </w:p>
        </w:tc>
        <w:tc>
          <w:tcPr>
            <w:tcBorders>
              <w:bottom w:val="single" w:sz="8" w:space="0" w:color="auto"/>
            </w:tcBorders>
            <w:vAlign w:val="center"/>
          </w:tcPr>
          <w:p>
            <w:pPr>
              <w:pStyle w:val="Compact"/>
              <w:suppressAutoHyphens/>
              <w:jc w:val="center"/>
            </w:pPr>
            <w:r>
              <w:rPr>
                <w:b/>
                <w:sz w:val="18"/>
                <w:szCs w:val="18"/>
              </w:rPr>
              <w:t xml:space="preserve">Implausibility</w:t>
            </w:r>
          </w:p>
        </w:tc>
      </w:tr>
      <w:tr>
        <w:tc>
          <w:tcPr>
            <w:vAlign w:val="center"/>
          </w:tcPr>
          <w:p>
            <w:pPr>
              <w:pStyle w:val="Compact"/>
              <w:suppressAutoHyphens/>
              <w:jc w:val="center"/>
            </w:pPr>
            <w:r>
              <w:rPr>
                <w:sz w:val="18"/>
                <w:szCs w:val="18"/>
              </w:rPr>
              <w:t xml:space="preserve">Close residual via ρ alone</w:t>
            </w:r>
          </w:p>
        </w:tc>
        <w:tc>
          <w:tcPr>
            <w:vAlign w:val="center"/>
          </w:tcPr>
          <w:p>
            <w:pPr>
              <w:pStyle w:val="Compact"/>
              <w:suppressAutoHyphens/>
              <w:jc w:val="center"/>
            </w:pPr>
            <m:oMath>
              <m:r>
                <w:rPr>
                  <w:sz w:val="18"/>
                  <w:szCs w:val="18"/>
                </w:rPr>
                <m:rPr>
                  <m:sty m:val="p"/>
                </m:rPr>
                <m:t>Δ</m:t>
              </m:r>
              <m:r>
                <w:rPr>
                  <w:sz w:val="18"/>
                  <w:szCs w:val="18"/>
                </w:rPr>
                <m:t>ρ</m:t>
              </m:r>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t>2.47</m:t>
              </m:r>
              <m:r>
                <w:rPr>
                  <w:sz w:val="18"/>
                  <w:szCs w:val="18"/>
                </w:rPr>
                <m:rPr>
                  <m:sty m:val="p"/>
                </m:rPr>
                <m:t>=</m:t>
              </m:r>
              <m:r>
                <w:rPr>
                  <w:sz w:val="18"/>
                  <w:szCs w:val="18"/>
                </w:rPr>
                <m:rPr>
                  <m:sty m:val="p"/>
                </m:rPr>
                <m:t>−</m:t>
              </m:r>
              <m:r>
                <w:rPr>
                  <w:sz w:val="18"/>
                  <w:szCs w:val="18"/>
                </w:rPr>
                <m:t>0.92</m:t>
              </m:r>
            </m:oMath>
            <w:r>
              <w:rPr>
                <w:sz w:val="18"/>
                <w:szCs w:val="18"/>
              </w:rPr>
              <w:t xml:space="preserve"> g cm</w:t>
            </w:r>
            <w:r>
              <w:rPr>
                <w:vertAlign w:val="superscript"/>
                <w:sz w:val="18"/>
                <w:szCs w:val="18"/>
              </w:rPr>
              <w:t xml:space="preserve">−3</w:t>
            </w:r>
            <w:r>
              <w:rPr>
                <w:sz w:val="18"/>
                <w:szCs w:val="18"/>
              </w:rPr>
              <w:t xml:space="preserve">; L4 calibrated</w:t>
            </w:r>
            <w:r>
              <w:rPr>
                <w:sz w:val="18"/>
                <w:szCs w:val="18"/>
              </w:rPr>
              <w:t xml:space="preserve"> </w:t>
            </w:r>
            <m:oMath>
              <m:r>
                <w:rPr>
                  <w:sz w:val="18"/>
                  <w:szCs w:val="18"/>
                </w:rPr>
                <m:t>ρ</m:t>
              </m:r>
            </m:oMath>
            <w:r>
              <w:rPr>
                <w:sz w:val="18"/>
                <w:szCs w:val="18"/>
              </w:rPr>
              <w:t xml:space="preserve"> </w:t>
            </w:r>
            <w:r>
              <w:rPr>
                <w:sz w:val="18"/>
                <w:szCs w:val="18"/>
              </w:rPr>
              <w:t xml:space="preserve">would have to drop from 1.94 to 1.02 g cm</w:t>
            </w:r>
            <w:r>
              <w:rPr>
                <w:vertAlign w:val="superscript"/>
                <w:sz w:val="18"/>
                <w:szCs w:val="18"/>
              </w:rPr>
              <w:t xml:space="preserve">−3</w:t>
            </w:r>
          </w:p>
        </w:tc>
        <w:tc>
          <w:tcPr>
            <w:vAlign w:val="center"/>
          </w:tcPr>
          <w:p>
            <w:pPr>
              <w:pStyle w:val="Compact"/>
              <w:suppressAutoHyphens/>
              <w:jc w:val="center"/>
            </w:pPr>
            <w:r>
              <w:rPr>
                <w:sz w:val="18"/>
                <w:szCs w:val="18"/>
              </w:rPr>
              <w:t xml:space="preserve">Lighter than water; chemically implausible for any nitrogen-rich CHNO crystal</w:t>
            </w:r>
          </w:p>
        </w:tc>
      </w:tr>
      <w:tr>
        <w:tc>
          <w:tcPr>
            <w:vAlign w:val="center"/>
          </w:tcPr>
          <w:p>
            <w:pPr>
              <w:pStyle w:val="Compact"/>
              <w:suppressAutoHyphens/>
              <w:jc w:val="center"/>
            </w:pPr>
            <w:r>
              <w:rPr>
                <w:sz w:val="18"/>
                <w:szCs w:val="18"/>
              </w:rPr>
              <w:t xml:space="preserve">Close residual via HOF alone</w:t>
            </w:r>
          </w:p>
        </w:tc>
        <w:tc>
          <w:tcPr>
            <w:vAlign w:val="center"/>
          </w:tcPr>
          <w:p>
            <w:pPr>
              <w:pStyle w:val="Compact"/>
              <w:suppressAutoHyphens/>
              <w:jc w:val="center"/>
            </w:pPr>
            <m:oMath>
              <m:r>
                <w:rPr>
                  <w:sz w:val="18"/>
                  <w:szCs w:val="18"/>
                </w:rPr>
                <m:rPr>
                  <m:sty m:val="p"/>
                </m:rPr>
                <m:t>Δ</m:t>
              </m:r>
            </m:oMath>
            <w:r>
              <w:rPr>
                <w:sz w:val="18"/>
                <w:szCs w:val="18"/>
              </w:rPr>
              <w:t xml:space="preserve">HOF</w:t>
            </w:r>
            <w:r>
              <w:rPr>
                <w:sz w:val="18"/>
                <w:szCs w:val="18"/>
              </w:rPr>
              <w:t xml:space="preserve"> </w:t>
            </w:r>
            <m:oMath>
              <m:r>
                <w:rPr>
                  <w:sz w:val="18"/>
                  <w:szCs w:val="18"/>
                </w:rPr>
                <m:rPr>
                  <m:sty m:val="p"/>
                </m:rPr>
                <m:t>=</m:t>
              </m:r>
              <m:r>
                <w:rPr>
                  <w:sz w:val="18"/>
                  <w:szCs w:val="18"/>
                </w:rPr>
                <m:rPr>
                  <m:sty m:val="p"/>
                </m:rPr>
                <m:t>−</m:t>
              </m:r>
              <m:r>
                <w:rPr>
                  <w:sz w:val="18"/>
                  <w:szCs w:val="18"/>
                </w:rPr>
                <m:t>2.27</m:t>
              </m:r>
              <m:r>
                <w:rPr>
                  <w:sz w:val="18"/>
                  <w:szCs w:val="18"/>
                </w:rPr>
                <m:rPr>
                  <m:sty m:val="p"/>
                </m:rPr>
                <m:t>/</m:t>
              </m:r>
              <m:r>
                <w:rPr>
                  <w:sz w:val="18"/>
                  <w:szCs w:val="18"/>
                </w:rPr>
                <m:rPr>
                  <m:sty m:val="p"/>
                </m:rPr>
                <m:t>(</m:t>
              </m:r>
              <m:r>
                <w:rPr>
                  <w:sz w:val="18"/>
                  <w:szCs w:val="18"/>
                </w:rPr>
                <m:rPr>
                  <m:sty m:val="p"/>
                </m:rPr>
                <m:t>−</m:t>
              </m:r>
              <m:r>
                <w:rPr>
                  <w:sz w:val="18"/>
                  <w:szCs w:val="18"/>
                </w:rPr>
                <m:t>0.22</m:t>
              </m:r>
              <m:r>
                <w:rPr>
                  <w:sz w:val="18"/>
                  <w:szCs w:val="18"/>
                </w:rPr>
                <m:rPr>
                  <m:sty m:val="p"/>
                </m:rPr>
                <m:t>/</m:t>
              </m:r>
              <m:r>
                <w:rPr>
                  <w:sz w:val="18"/>
                  <w:szCs w:val="18"/>
                </w:rPr>
                <m:t>100</m:t>
              </m:r>
              <m:r>
                <w:rPr>
                  <w:sz w:val="18"/>
                  <w:szCs w:val="18"/>
                </w:rPr>
                <m:rPr>
                  <m:sty m:val="p"/>
                </m:rPr>
                <m:t>)</m:t>
              </m:r>
              <m:r>
                <w:rPr>
                  <w:sz w:val="18"/>
                  <w:szCs w:val="18"/>
                </w:rPr>
                <m:rPr>
                  <m:sty m:val="p"/>
                </m:rPr>
                <m:t>=</m:t>
              </m:r>
              <m:r>
                <w:rPr>
                  <w:sz w:val="18"/>
                  <w:szCs w:val="18"/>
                </w:rPr>
                <m:rPr>
                  <m:sty m:val="p"/>
                </m:rPr>
                <m:t>+</m:t>
              </m:r>
              <m:r>
                <w:rPr>
                  <w:sz w:val="18"/>
                  <w:szCs w:val="18"/>
                </w:rPr>
                <m:t>1032</m:t>
              </m:r>
            </m:oMath>
            <w:r>
              <w:rPr>
                <w:sz w:val="18"/>
                <w:szCs w:val="18"/>
              </w:rPr>
              <w:t xml:space="preserve"> kJ mol</w:t>
            </w:r>
            <w:r>
              <w:rPr>
                <w:vertAlign w:val="superscript"/>
                <w:sz w:val="18"/>
                <w:szCs w:val="18"/>
              </w:rPr>
              <w:t xml:space="preserve">−1</w:t>
            </w:r>
            <w:r>
              <w:rPr>
                <w:sz w:val="18"/>
                <w:szCs w:val="18"/>
              </w:rPr>
              <w:t xml:space="preserve">; L4 calibrated HOF would have to rise from +292 to +1324 kJ mol</w:t>
            </w:r>
            <w:r>
              <w:rPr>
                <w:vertAlign w:val="superscript"/>
                <w:sz w:val="18"/>
                <w:szCs w:val="18"/>
              </w:rPr>
              <w:t xml:space="preserve">−1</w:t>
            </w:r>
          </w:p>
        </w:tc>
        <w:tc>
          <w:tcPr>
            <w:vAlign w:val="center"/>
          </w:tcPr>
          <w:p>
            <w:pPr>
              <w:pStyle w:val="Compact"/>
              <w:suppressAutoHyphens/>
              <w:jc w:val="center"/>
            </w:pPr>
            <w:r>
              <w:rPr>
                <w:sz w:val="18"/>
                <w:szCs w:val="18"/>
              </w:rPr>
              <w:t xml:space="preserve">Far above CL-20's HOF (~+460 kJ mol</w:t>
            </w:r>
            <w:r>
              <w:rPr>
                <w:vertAlign w:val="superscript"/>
                <w:sz w:val="18"/>
                <w:szCs w:val="18"/>
              </w:rPr>
              <w:t xml:space="preserve">−1</w:t>
            </w:r>
            <w:r>
              <w:rPr>
                <w:sz w:val="18"/>
                <w:szCs w:val="18"/>
              </w:rPr>
              <w:t xml:space="preserve">); physically extreme for a 13-atom CHNO neutral</w:t>
            </w:r>
          </w:p>
        </w:tc>
      </w:tr>
    </w:tbl>
    <w:p>
      <w:pPr>
        <w:pStyle w:val="MDPI18keywords"/>
        <w:ind w:left="2608"/>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 s</w:t>
      </w:r>
      <w:r>
        <w:rPr>
          <w:vertAlign w:val="superscript"/>
        </w:rPr>
        <w:t xml:space="preserve">−1</w:t>
      </w:r>
      <w:r>
        <w:t xml:space="preserve"> </w:t>
      </w:r>
      <w:r>
        <w:t xml:space="preserve">per 100 kJ mol</w:t>
      </w:r>
      <w:r>
        <w:rPr>
          <w:vertAlign w:val="superscript"/>
        </w:rPr>
        <w:t xml:space="preserve">−1</w:t>
      </w:r>
      <w:r>
        <w:t xml:space="preserve">.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 mol</w:t>
      </w:r>
      <w:r>
        <w:rPr>
          <w:vertAlign w:val="superscript"/>
        </w:rPr>
        <w:t xml:space="preserve">−1</w:t>
      </w:r>
      <w:r>
        <w:t xml:space="preserve"> </w:t>
      </w:r>
      <w:r>
        <w:t xml:space="preserve">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MDPI18keywords"/>
        <w:ind w:left="2608"/>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MDPI41tablecaption"/>
        <w:ind w:left="2608"/>
      </w:pPr>
      <w:r>
        <w:rPr>
          <w:b/>
          <w:bCs/>
        </w:rPr>
        <w:t xml:space="preserve">Table S12.</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40"/>
        <w:gridCol w:w="621"/>
        <w:gridCol w:w="1717"/>
        <w:gridCol w:w="1717"/>
        <w:gridCol w:w="2163"/>
      </w:tblGrid>
      <w:tr>
        <w:trPr>
          <w:tblHeader w:val="on"/>
        </w:trPr>
        <w:tc>
          <w:tcPr>
            <w:tcBorders>
              <w:bottom w:val="single" w:sz="8" w:space="0" w:color="auto"/>
            </w:tcBorders>
            <w:vAlign w:val="center"/>
          </w:tcPr>
          <w:p>
            <w:pPr>
              <w:pStyle w:val="Compact"/>
              <w:suppressAutoHyphens/>
              <w:jc w:val="center"/>
            </w:pPr>
            <w:r>
              <w:rPr>
                <w:b/>
                <w:sz w:val="18"/>
                <w:szCs w:val="18"/>
              </w:rPr>
              <w:t xml:space="preserve">N-fraction bin</w:t>
            </w:r>
          </w:p>
        </w:tc>
        <w:tc>
          <w:tcPr>
            <w:tcBorders>
              <w:bottom w:val="single" w:sz="8" w:space="0" w:color="auto"/>
            </w:tcBorders>
            <w:vAlign w:val="center"/>
          </w:tcPr>
          <w:p>
            <w:pPr>
              <w:pStyle w:val="Compact"/>
              <w:suppressAutoHyphens/>
              <w:jc w:val="center"/>
            </w:pPr>
            <m:oMath>
              <m:r>
                <w:rPr>
                  <w:sz w:val="18"/>
                  <w:szCs w:val="18"/>
                </w:rPr>
                <m:t>n</m:t>
              </m:r>
            </m:oMath>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exp</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sSub>
                <m:e>
                  <m:r>
                    <w:rPr>
                      <w:sz w:val="18"/>
                      <w:szCs w:val="18"/>
                    </w:rPr>
                    <m:t>D</m:t>
                  </m:r>
                </m:e>
                <m:sub>
                  <m:r>
                    <w:rPr>
                      <w:sz w:val="18"/>
                      <w:szCs w:val="18"/>
                    </w:rPr>
                    <m:rPr>
                      <m:nor/>
                      <m:sty m:val="p"/>
                    </m:rPr>
                    <m:t>K-J</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 residual (km s</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[0.00–0.10)</w:t>
            </w:r>
          </w:p>
        </w:tc>
        <w:tc>
          <w:tcPr>
            <w:vAlign w:val="center"/>
          </w:tcPr>
          <w:p>
            <w:pPr>
              <w:pStyle w:val="Compact"/>
              <w:suppressAutoHyphens/>
              <w:jc w:val="center"/>
            </w:pPr>
            <w:r>
              <w:rPr>
                <w:sz w:val="18"/>
                <w:szCs w:val="18"/>
              </w:rPr>
              <w:t xml:space="preserve">16</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3.59</w:t>
            </w:r>
          </w:p>
        </w:tc>
        <w:tc>
          <w:tcPr>
            <w:vAlign w:val="center"/>
          </w:tcPr>
          <w:p>
            <w:pPr>
              <w:pStyle w:val="Compact"/>
              <w:suppressAutoHyphens/>
              <w:jc w:val="center"/>
            </w:pPr>
            <w:r>
              <w:rPr>
                <w:sz w:val="18"/>
                <w:szCs w:val="18"/>
              </w:rPr>
              <w:t xml:space="preserve">−2.59</w:t>
            </w:r>
          </w:p>
        </w:tc>
      </w:tr>
      <w:tr>
        <w:tc>
          <w:tcPr>
            <w:vAlign w:val="center"/>
          </w:tcPr>
          <w:p>
            <w:pPr>
              <w:pStyle w:val="Compact"/>
              <w:suppressAutoHyphens/>
              <w:jc w:val="center"/>
            </w:pPr>
            <w:r>
              <w:rPr>
                <w:sz w:val="18"/>
                <w:szCs w:val="18"/>
              </w:rPr>
              <w:t xml:space="preserve">[0.10–0.20)</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7.44</w:t>
            </w:r>
          </w:p>
        </w:tc>
        <w:tc>
          <w:tcPr>
            <w:vAlign w:val="center"/>
          </w:tcPr>
          <w:p>
            <w:pPr>
              <w:pStyle w:val="Compact"/>
              <w:suppressAutoHyphens/>
              <w:jc w:val="center"/>
            </w:pPr>
            <w:r>
              <w:rPr>
                <w:sz w:val="18"/>
                <w:szCs w:val="18"/>
              </w:rPr>
              <w:t xml:space="preserve">3.93</w:t>
            </w:r>
          </w:p>
        </w:tc>
        <w:tc>
          <w:tcPr>
            <w:vAlign w:val="center"/>
          </w:tcPr>
          <w:p>
            <w:pPr>
              <w:pStyle w:val="Compact"/>
              <w:suppressAutoHyphens/>
              <w:jc w:val="center"/>
            </w:pPr>
            <w:r>
              <w:rPr>
                <w:sz w:val="18"/>
                <w:szCs w:val="18"/>
              </w:rPr>
              <w:t xml:space="preserve">−3.51</w:t>
            </w:r>
          </w:p>
        </w:tc>
      </w:tr>
      <w:tr>
        <w:tc>
          <w:tcPr>
            <w:vAlign w:val="center"/>
          </w:tcPr>
          <w:p>
            <w:pPr>
              <w:pStyle w:val="Compact"/>
              <w:suppressAutoHyphens/>
              <w:jc w:val="center"/>
            </w:pPr>
            <w:r>
              <w:rPr>
                <w:sz w:val="18"/>
                <w:szCs w:val="18"/>
              </w:rPr>
              <w:t xml:space="preserve">[0.20–0.30)</w:t>
            </w:r>
          </w:p>
        </w:tc>
        <w:tc>
          <w:tcPr>
            <w:vAlign w:val="center"/>
          </w:tcPr>
          <w:p>
            <w:pPr>
              <w:pStyle w:val="Compact"/>
              <w:suppressAutoHyphens/>
              <w:jc w:val="center"/>
            </w:pPr>
            <w:r>
              <w:rPr>
                <w:sz w:val="18"/>
                <w:szCs w:val="18"/>
              </w:rPr>
              <w:t xml:space="preserve">233</w:t>
            </w:r>
          </w:p>
        </w:tc>
        <w:tc>
          <w:tcPr>
            <w:vAlign w:val="center"/>
          </w:tcPr>
          <w:p>
            <w:pPr>
              <w:pStyle w:val="Compact"/>
              <w:suppressAutoHyphens/>
              <w:jc w:val="center"/>
            </w:pPr>
            <w:r>
              <w:rPr>
                <w:sz w:val="18"/>
                <w:szCs w:val="18"/>
              </w:rPr>
              <w:t xml:space="preserve">7.96</w:t>
            </w:r>
          </w:p>
        </w:tc>
        <w:tc>
          <w:tcPr>
            <w:vAlign w:val="center"/>
          </w:tcPr>
          <w:p>
            <w:pPr>
              <w:pStyle w:val="Compact"/>
              <w:suppressAutoHyphens/>
              <w:jc w:val="center"/>
            </w:pPr>
            <w:r>
              <w:rPr>
                <w:sz w:val="18"/>
                <w:szCs w:val="18"/>
              </w:rPr>
              <w:t xml:space="preserve">4.37</w:t>
            </w:r>
          </w:p>
        </w:tc>
        <w:tc>
          <w:tcPr>
            <w:vAlign w:val="center"/>
          </w:tcPr>
          <w:p>
            <w:pPr>
              <w:pStyle w:val="Compact"/>
              <w:suppressAutoHyphens/>
              <w:jc w:val="center"/>
            </w:pPr>
            <w:r>
              <w:rPr>
                <w:sz w:val="18"/>
                <w:szCs w:val="18"/>
              </w:rPr>
              <w:t xml:space="preserve">−3.59</w:t>
            </w:r>
          </w:p>
        </w:tc>
      </w:tr>
      <w:tr>
        <w:tc>
          <w:tcPr>
            <w:vAlign w:val="center"/>
          </w:tcPr>
          <w:p>
            <w:pPr>
              <w:pStyle w:val="Compact"/>
              <w:suppressAutoHyphens/>
              <w:jc w:val="center"/>
            </w:pPr>
            <w:r>
              <w:rPr>
                <w:sz w:val="18"/>
                <w:szCs w:val="18"/>
              </w:rPr>
              <w:t xml:space="preserve">[0.30–0.40)</w:t>
            </w:r>
          </w:p>
        </w:tc>
        <w:tc>
          <w:tcPr>
            <w:vAlign w:val="center"/>
          </w:tcPr>
          <w:p>
            <w:pPr>
              <w:pStyle w:val="Compact"/>
              <w:suppressAutoHyphens/>
              <w:jc w:val="center"/>
            </w:pPr>
            <w:r>
              <w:rPr>
                <w:sz w:val="18"/>
                <w:szCs w:val="18"/>
              </w:rPr>
              <w:t xml:space="preserve">84</w:t>
            </w:r>
          </w:p>
        </w:tc>
        <w:tc>
          <w:tcPr>
            <w:vAlign w:val="center"/>
          </w:tcPr>
          <w:p>
            <w:pPr>
              <w:pStyle w:val="Compact"/>
              <w:suppressAutoHyphens/>
              <w:jc w:val="center"/>
            </w:pPr>
            <w:r>
              <w:rPr>
                <w:sz w:val="18"/>
                <w:szCs w:val="18"/>
              </w:rPr>
              <w:t xml:space="preserve">8.30</w:t>
            </w:r>
          </w:p>
        </w:tc>
        <w:tc>
          <w:tcPr>
            <w:vAlign w:val="center"/>
          </w:tcPr>
          <w:p>
            <w:pPr>
              <w:pStyle w:val="Compact"/>
              <w:suppressAutoHyphens/>
              <w:jc w:val="center"/>
            </w:pPr>
            <w:r>
              <w:rPr>
                <w:sz w:val="18"/>
                <w:szCs w:val="18"/>
              </w:rPr>
              <w:t xml:space="preserve">5.01</w:t>
            </w:r>
          </w:p>
        </w:tc>
        <w:tc>
          <w:tcPr>
            <w:vAlign w:val="center"/>
          </w:tcPr>
          <w:p>
            <w:pPr>
              <w:pStyle w:val="Compact"/>
              <w:suppressAutoHyphens/>
              <w:jc w:val="center"/>
            </w:pPr>
            <w:r>
              <w:rPr>
                <w:sz w:val="18"/>
                <w:szCs w:val="18"/>
              </w:rPr>
              <w:t xml:space="preserve">−3.29</w:t>
            </w:r>
          </w:p>
        </w:tc>
      </w:tr>
      <w:tr>
        <w:tc>
          <w:tcPr>
            <w:vAlign w:val="center"/>
          </w:tcPr>
          <w:p>
            <w:pPr>
              <w:pStyle w:val="Compact"/>
              <w:suppressAutoHyphens/>
              <w:jc w:val="center"/>
            </w:pPr>
            <w:r>
              <w:rPr>
                <w:sz w:val="18"/>
                <w:szCs w:val="18"/>
              </w:rPr>
              <w:t xml:space="preserve">[0.40–0.55)</w:t>
            </w:r>
          </w:p>
        </w:tc>
        <w:tc>
          <w:tcPr>
            <w:vAlign w:val="center"/>
          </w:tcPr>
          <w:p>
            <w:pPr>
              <w:pStyle w:val="Compact"/>
              <w:suppressAutoHyphens/>
              <w:jc w:val="center"/>
            </w:pPr>
            <w:r>
              <w:rPr>
                <w:sz w:val="18"/>
                <w:szCs w:val="18"/>
              </w:rPr>
              <w:t xml:space="preserve">37</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6.17</w:t>
            </w:r>
          </w:p>
        </w:tc>
        <w:tc>
          <w:tcPr>
            <w:vAlign w:val="center"/>
          </w:tcPr>
          <w:p>
            <w:pPr>
              <w:pStyle w:val="Compact"/>
              <w:suppressAutoHyphens/>
              <w:jc w:val="center"/>
            </w:pPr>
            <w:r>
              <w:rPr>
                <w:sz w:val="18"/>
                <w:szCs w:val="18"/>
              </w:rPr>
              <w:t xml:space="preserve">−1.60</w:t>
            </w:r>
          </w:p>
        </w:tc>
      </w:tr>
      <w:tr>
        <w:tc>
          <w:tcPr>
            <w:vAlign w:val="center"/>
          </w:tcPr>
          <w:p>
            <w:pPr>
              <w:pStyle w:val="Compact"/>
              <w:suppressAutoHyphens/>
              <w:jc w:val="center"/>
            </w:pPr>
            <w:r>
              <w:rPr>
                <w:sz w:val="18"/>
                <w:szCs w:val="18"/>
              </w:rPr>
              <w:t xml:space="preserve">[0.55–1.00]</w:t>
            </w:r>
          </w:p>
        </w:tc>
        <w:tc>
          <w:tcPr>
            <w:vAlign w:val="center"/>
          </w:tcPr>
          <w:p>
            <w:pPr>
              <w:pStyle w:val="Compact"/>
              <w:suppressAutoHyphens/>
              <w:jc w:val="center"/>
            </w:pPr>
            <w:r>
              <w:rPr>
                <w:sz w:val="18"/>
                <w:szCs w:val="18"/>
              </w:rPr>
              <w:t xml:space="preserve">9</w:t>
            </w:r>
          </w:p>
        </w:tc>
        <w:tc>
          <w:tcPr>
            <w:vAlign w:val="center"/>
          </w:tcPr>
          <w:p>
            <w:pPr>
              <w:pStyle w:val="Compact"/>
              <w:suppressAutoHyphens/>
              <w:jc w:val="center"/>
            </w:pPr>
            <w:r>
              <w:rPr>
                <w:sz w:val="18"/>
                <w:szCs w:val="18"/>
              </w:rPr>
              <w:t xml:space="preserve">7.12</w:t>
            </w:r>
          </w:p>
        </w:tc>
        <w:tc>
          <w:tcPr>
            <w:vAlign w:val="center"/>
          </w:tcPr>
          <w:p>
            <w:pPr>
              <w:pStyle w:val="Compact"/>
              <w:suppressAutoHyphens/>
              <w:jc w:val="center"/>
            </w:pPr>
            <w:r>
              <w:rPr>
                <w:sz w:val="18"/>
                <w:szCs w:val="18"/>
              </w:rPr>
              <w:t xml:space="preserve">7.66</w:t>
            </w:r>
          </w:p>
        </w:tc>
        <w:tc>
          <w:tcPr>
            <w:vAlign w:val="center"/>
          </w:tcPr>
          <w:p>
            <w:pPr>
              <w:pStyle w:val="Compact"/>
              <w:suppressAutoHyphens/>
              <w:jc w:val="center"/>
            </w:pPr>
            <w:r>
              <w:rPr>
                <w:b/>
                <w:bCs/>
                <w:sz w:val="18"/>
                <w:szCs w:val="18"/>
              </w:rPr>
              <w:t xml:space="preserve">+0.54</w:t>
            </w:r>
          </w:p>
        </w:tc>
      </w:tr>
    </w:tbl>
    <w:p>
      <w:pPr>
        <w:pStyle w:val="MDPI18keywords"/>
        <w:ind w:left="2608"/>
      </w:pPr>
      <w:r>
        <w:t xml:space="preserve">The residual flips sign across the N-fraction range: K-J systematically under-predicts</w:t>
      </w:r>
      <w:r>
        <w:t xml:space="preserve"> </w:t>
      </w:r>
      <m:oMath>
        <m:r>
          <m:t>D</m:t>
        </m:r>
      </m:oMath>
      <w:r>
        <w:t xml:space="preserve"> </w:t>
      </w:r>
      <w:r>
        <w:t xml:space="preserve">by 3–3.6 km s</w:t>
      </w:r>
      <w:r>
        <w:rPr>
          <w:vertAlign w:val="superscript"/>
        </w:rPr>
        <w:t xml:space="preserve">−1</w:t>
      </w:r>
      <w:r>
        <w:t xml:space="preserve"> </w:t>
      </w:r>
      <w:r>
        <w:t xml:space="preserve">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Section 2.3 attribution is consistent with the population-level monotone N-fraction trend. Note: the mean K-J residual in the [0.55–1.00] N-fraction bin of Table S12 is positive (+0.54 km s</w:t>
      </w:r>
      <w:r>
        <w:rPr>
          <w:vertAlign w:val="superscript"/>
        </w:rPr>
        <w:t xml:space="preserve">−1</w:t>
      </w:r>
      <w:r>
        <w:t xml:space="preserve">), indicating apparent K-J over-prediction at this extreme N-fraction; this reflects the open-form Q approximation (Q ≈ ΔHf/MW without product-side subtraction); the per-lead Table S10 values use the closed-form K-J, for which the residual stays negative across this regime.</w:t>
      </w:r>
    </w:p>
    <w:p>
      <w:pPr>
        <w:pStyle w:val="MDPI18keywords"/>
        <w:ind w:left="2608"/>
      </w:pPr>
      <w:r>
        <w:rPr>
          <w:b/>
          <w:bCs/>
        </w:rPr>
        <w:t xml:space="preserve">C.8 Scaffold-similarity to labelled master.</w:t>
      </w:r>
      <w:r>
        <w:t xml:space="preserve"> </w:t>
      </w:r>
      <w:r>
        <w:t xml:space="preserve">Beyond Tanimoto on full-molecule fingerprints (Section 2.4), we report the GuacaMol-style "scaf" metric (mean and max nearest-neighbour Tanimoto on Bemis–Murcko scaffold fingerprints) against a 5 000-row sample of the labelled master:</w:t>
      </w:r>
    </w:p>
    <w:p>
      <w:pPr>
        <w:pStyle w:val="MDPI41tablecaption"/>
        <w:ind w:left="2608"/>
      </w:pPr>
      <w:r>
        <w:rPr>
          <w:b/>
          <w:bCs/>
        </w:rPr>
        <w:t xml:space="preserve">Table S13.</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911"/>
        <w:gridCol w:w="1480"/>
        <w:gridCol w:w="1404"/>
        <w:gridCol w:w="206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scaf-NN mean</w:t>
            </w:r>
          </w:p>
        </w:tc>
        <w:tc>
          <w:tcPr>
            <w:tcBorders>
              <w:bottom w:val="single" w:sz="8" w:space="0" w:color="auto"/>
            </w:tcBorders>
            <w:vAlign w:val="center"/>
          </w:tcPr>
          <w:p>
            <w:pPr>
              <w:pStyle w:val="Compact"/>
              <w:suppressAutoHyphens/>
              <w:jc w:val="center"/>
            </w:pPr>
            <w:r>
              <w:rPr>
                <w:b/>
                <w:sz w:val="18"/>
                <w:szCs w:val="18"/>
              </w:rPr>
              <w:t xml:space="preserve">scaf-NN max</w:t>
            </w:r>
          </w:p>
        </w:tc>
        <w:tc>
          <w:tcPr>
            <w:tcBorders>
              <w:bottom w:val="single" w:sz="8" w:space="0" w:color="auto"/>
            </w:tcBorders>
            <w:vAlign w:val="center"/>
          </w:tcPr>
          <w:p>
            <w:pPr>
              <w:pStyle w:val="Compact"/>
              <w:suppressAutoHyphens/>
              <w:jc w:val="center"/>
            </w:pPr>
            <w:r>
              <w:rPr>
                <w:b/>
                <w:sz w:val="18"/>
                <w:szCs w:val="18"/>
              </w:rPr>
              <w:t xml:space="preserve">unique scaffolds</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369</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0.420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0.372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199</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0.423</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503</w:t>
            </w:r>
          </w:p>
        </w:tc>
      </w:tr>
    </w:tbl>
    <w:p>
      <w:pPr>
        <w:pStyle w:val="MDPI18keywords"/>
        <w:ind w:left="2608"/>
      </w:pPr>
      <w:r>
        <w:t xml:space="preserve">Mean scaffold-NN Tanimoto of 0.37–0.47 indicates the generated scaffolds are partially related to known energetic scaffolds but not identical (in line with the median molecule-level NN-Tanimoto of 0.32 reported in Section 2.4). The max=1.00 reflects sanity-check rediscoveries (e.g., 1,2-isoxazole, 1,2,4-tetrazole, oxadiazole, 1,2,3,4-tetrazine). C2 (viab+sens+hazard) has the lowest scaffold-NN mean (0.372); C3 (hazard-only) has the highest scaffold count (503).</w:t>
      </w:r>
    </w:p>
    <w:p>
      <w:pPr>
        <w:pStyle w:val="MDPI18keywords"/>
        <w:ind w:left="2608"/>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Section 2.3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MDPI18keywords"/>
        <w:ind w:left="2608"/>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 mol</w:t>
      </w:r>
      <w:r>
        <w:rPr>
          <w:b/>
          <w:bCs/>
          <w:vertAlign w:val="superscript"/>
        </w:rPr>
        <w:t xml:space="preserve">−1</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 mol</w:t>
      </w:r>
      <w:r>
        <w:rPr>
          <w:vertAlign w:val="superscript"/>
        </w:rPr>
        <w:t xml:space="preserve">−1</w:t>
      </w:r>
      <w:r>
        <w:t xml:space="preserve">; ring N–O bonds are at 170–186 kcal mol</w:t>
      </w:r>
      <w:r>
        <w:rPr>
          <w:vertAlign w:val="superscript"/>
        </w:rPr>
        <w:t xml:space="preserve">−1</w:t>
      </w:r>
      <w:r>
        <w:t xml:space="preserve"> </w:t>
      </w:r>
      <w:r>
        <w:t xml:space="preserve">(the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 mol</w:t>
      </w:r>
      <w:r>
        <w:rPr>
          <w:b/>
          <w:bCs/>
          <w:vertAlign w:val="superscript"/>
        </w:rPr>
        <w:t xml:space="preserve">−1</w:t>
      </w:r>
      <w:r>
        <w:t xml:space="preserve"> </w:t>
      </w:r>
      <w:r>
        <w:t xml:space="preserve">on the exocyclic C–NO</w:t>
      </w:r>
      <w:r>
        <w:rPr>
          <w:vertAlign w:val="subscript"/>
        </w:rPr>
        <w:t xml:space="preserve">2</w:t>
      </w:r>
      <w:r>
        <w:t xml:space="preserve"> </w:t>
      </w:r>
      <w:r>
        <w:t xml:space="preserve">bond, with no ring N–O channel below 180 kcal mol</w:t>
      </w:r>
      <w:r>
        <w:rPr>
          <w:vertAlign w:val="superscript"/>
        </w:rPr>
        <w:t xml:space="preserve">−1</w:t>
      </w:r>
      <w:r>
        <w:t xml:space="preserve">. Relative to the Politzer–Murray Ar–NO</w:t>
      </w:r>
      <w:r>
        <w:rPr>
          <w:vertAlign w:val="subscript"/>
        </w:rPr>
        <w:t xml:space="preserve">2</w:t>
      </w:r>
      <w:r>
        <w:t xml:space="preserve"> </w:t>
      </w:r>
      <w:r>
        <w:t xml:space="preserve">typical (</w:t>
      </w:r>
      <m:oMath>
        <m:r>
          <m:rPr>
            <m:sty m:val="p"/>
          </m:rPr>
          <m:t>∼</m:t>
        </m:r>
      </m:oMath>
      <w:r>
        <w:t xml:space="preserve">70 kcal mol</w:t>
      </w:r>
      <w:r>
        <w:rPr>
          <w:vertAlign w:val="superscript"/>
        </w:rPr>
        <w:t xml:space="preserve">−1</w:t>
      </w:r>
      <w:r>
        <w:t xml:space="preserve">) the values are mildly over-estimated by the unrelaxed-fragment xTB protocol, but the qualitative picture matches expectations: nitro loss is the dominant decomposition initiator for both compounds, and neither shows a sub-80 kcal mol</w:t>
      </w:r>
      <w:r>
        <w:rPr>
          <w:vertAlign w:val="superscript"/>
        </w:rPr>
        <w:t xml:space="preserve">−1</w:t>
      </w:r>
      <w:r>
        <w:t xml:space="preserve"> </w:t>
      </w:r>
      <w:r>
        <w:t xml:space="preserve">channel that would predict primary-explosive sensitivity. Computed via Modal-launched bundle</w:t>
      </w:r>
      <w:r>
        <w:t xml:space="preserve"> </w:t>
      </w:r>
      <w:r>
        <w:rPr>
          <w:rStyle w:val="VerbatimChar"/>
        </w:rPr>
        <w:t xml:space="preserve">t1_bde_bundle/</w:t>
      </w:r>
      <w:r>
        <w:t xml:space="preserve">.</w:t>
      </w:r>
    </w:p>
    <w:p>
      <w:pPr>
        <w:pStyle w:val="MDPI18keywords"/>
        <w:ind w:left="2608"/>
      </w:pPr>
      <w:r>
        <w:rPr>
          <w:b/>
          <w:bCs/>
        </w:rPr>
        <w:t xml:space="preserve">C.11 Furazan-class anchor boundary (DNTF).</w:t>
      </w:r>
      <w:r>
        <w:t xml:space="preserve"> </w:t>
      </w:r>
      <w:r>
        <w:t xml:space="preserve">The 6-anchor panel excludes furazan-class members. DNTF (3,4-bis(4-nitrofurazan-3-yl)furazan; the best-characterised furazan-class energetic material,</w:t>
      </w:r>
      <w:r>
        <w:t xml:space="preserve"> </w:t>
      </w:r>
      <m:oMath>
        <m:sSub>
          <m:e>
            <m:r>
              <m:t>ρ</m:t>
            </m:r>
          </m:e>
          <m:sub>
            <m:r>
              <m:rPr>
                <m:nor/>
                <m:sty m:val="p"/>
              </m:rPr>
              <m:t>exp</m:t>
            </m:r>
          </m:sub>
        </m:sSub>
        <m:r>
          <m:rPr>
            <m:sty m:val="p"/>
          </m:rPr>
          <m:t>=</m:t>
        </m:r>
        <m:r>
          <m:t>1.937</m:t>
        </m:r>
      </m:oMath>
      <w:r>
        <w:t xml:space="preserve"> g 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 s</w:t>
      </w:r>
      <w:r>
        <w:rPr>
          <w:vertAlign w:val="superscript"/>
        </w:rPr>
        <w:t xml:space="preserve">−1</w:t>
      </w:r>
      <w:r>
        <w:t xml:space="preserve">), computed on the same B3LYP/6-31G(d) +</w:t>
      </w:r>
      <w:r>
        <w:t xml:space="preserve"> </w:t>
      </w:r>
      <m:oMath>
        <m:r>
          <m:t>ω</m:t>
        </m:r>
      </m:oMath>
      <w:r>
        <w:t xml:space="preserve">B97X-D3BJ/def2-TZVP pipeline, is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 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 mol</w:t>
      </w:r>
      <w:r>
        <w:rPr>
          <w:vertAlign w:val="superscript"/>
        </w:rPr>
        <w:t xml:space="preserve">−1</w:t>
      </w:r>
      <w:r>
        <w:t xml:space="preserve"> </w:t>
      </w:r>
      <w:r>
        <w:t xml:space="preserve">for DNTF (versus</w:t>
      </w:r>
      <w:r>
        <w:t xml:space="preserve"> </w:t>
      </w:r>
      <m:oMath>
        <m:r>
          <m:rPr>
            <m:sty m:val="p"/>
          </m:rPr>
          <m:t>±</m:t>
        </m:r>
        <m:r>
          <m:t>0.025</m:t>
        </m:r>
      </m:oMath>
      <w:r>
        <w:t xml:space="preserve">–</w:t>
      </w:r>
      <m:oMath>
        <m:r>
          <m:t>0.049</m:t>
        </m:r>
      </m:oMath>
      <w:r>
        <w:t xml:space="preserve"> g cm</w:t>
      </w:r>
      <w:r>
        <w:rPr>
          <w:vertAlign w:val="superscript"/>
        </w:rPr>
        <w:t xml:space="preserve">−3</w:t>
      </w:r>
      <w:r>
        <w:t xml:space="preserve"> </w:t>
      </w:r>
      <w:r>
        <w:t xml:space="preserve">for the six main-set anchors), and exceeds the 6-anchor LOO-RMS of</w:t>
      </w:r>
      <w:r>
        <w:t xml:space="preserve"> </w:t>
      </w:r>
      <m:oMath>
        <m:r>
          <m:t>0.078</m:t>
        </m:r>
      </m:oMath>
      <w:r>
        <w:t xml:space="preserve"> g cm</w:t>
      </w:r>
      <w:r>
        <w:rPr>
          <w:vertAlign w:val="superscript"/>
        </w:rPr>
        <w:t xml:space="preserve">−3</w:t>
      </w:r>
      <w:r>
        <w:t xml:space="preserve"> </w:t>
      </w:r>
      <w:r>
        <w:t xml:space="preserve">on</w:t>
      </w:r>
      <w:r>
        <w:t xml:space="preserve"> </w:t>
      </w:r>
      <m:oMath>
        <m:r>
          <m:t>ρ</m:t>
        </m:r>
      </m:oMath>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the same confidence level as L1.</w:t>
      </w:r>
    </w:p>
    <w:p>
      <w:pPr>
        <w:pStyle w:val="MDPI18keywords"/>
        <w:ind w:left="2608"/>
      </w:pPr>
      <w:r>
        <w:rPr>
          <w:b/>
          <w:bCs/>
        </w:rPr>
        <w:t xml:space="preserve">C.12 Stage-3 xTB triage recipe.</w:t>
      </w:r>
      <w:r>
        <w:t xml:space="preserve"> </w:t>
      </w:r>
      <w:r>
        <w:t xml:space="preserve">The Stage-3 xTB triage referenced in Section 2.3 follows the standard pre-experimental screening recipe for computational energetic-materials chemistry: starting from canonical SMILES we run an RDKit ETKDGv3 conformer search, MMFF94 minimisation, and then xTB</w:t>
      </w:r>
      <w:r>
        <w:t xml:space="preserve"> </w:t>
      </w:r>
      <w:hyperlink r:id="rId19">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[15]</w:t>
        </w:r>
      </w:hyperlink>
      <w:r>
        <w:t xml:space="preserve">, so we treat the gap as a triage signal rather than a final verdict; molecules clearing the 1.5 eV gate are promoted to Stage 4 DFT, and motif-level shock and friction risks are caught by the parallel SMARTS gate (Stage 1, Section 4.13).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MDPI18keywords"/>
        <w:ind w:left="2608"/>
      </w:pPr>
      <w:r>
        <w:rPr>
          <w:b/>
          <w:bCs/>
        </w:rPr>
        <w:t xml:space="preserve">C.13 Independent CJ cross-check.</w:t>
      </w:r>
      <w:r>
        <w:t xml:space="preserve"> </w:t>
      </w:r>
      <w:r>
        <w:t xml:space="preserve">A thermochemical-equilibrium Cantera ideal-gas Chapman–Jouguet recompute is provided as an independent relative-ranking sanity check on the Section 2.3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 s</w:t>
      </w:r>
      <w:r>
        <w:rPr>
          <w:vertAlign w:val="superscript"/>
        </w:rPr>
        <w:t xml:space="preserve">−1</w:t>
      </w:r>
      <w:r>
        <w:t xml:space="preserve"> </w:t>
      </w:r>
      <w:r>
        <w:t xml:space="preserve">vs experimental</w:t>
      </w:r>
      <w:r>
        <w:t xml:space="preserve"> </w:t>
      </w:r>
      <m:oMath>
        <m:r>
          <m:t>8.75</m:t>
        </m:r>
      </m:oMath>
      <w:r>
        <w:t xml:space="preserve"> km s</w:t>
      </w:r>
      <w:r>
        <w:rPr>
          <w:vertAlign w:val="superscript"/>
        </w:rPr>
        <w:t xml:space="preserve">−1</w:t>
      </w:r>
      <w:r>
        <w:t xml:space="preserve">),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Section 3 Limitations). A sensitivity decomposition (per-lead slopes</w:t>
      </w:r>
      <w:r>
        <w:t xml:space="preserve"> </w:t>
      </w:r>
      <m:oMath>
        <m:r>
          <m:t>d</m:t>
        </m:r>
        <m:r>
          <m:t>D</m:t>
        </m:r>
        <m:r>
          <m:rPr>
            <m:sty m:val="p"/>
          </m:rPr>
          <m:t>/</m:t>
        </m:r>
        <m:r>
          <m:t>d</m:t>
        </m:r>
        <m:r>
          <m:t>ρ</m:t>
        </m:r>
        <m:r>
          <m:rPr>
            <m:sty m:val="p"/>
          </m:rPr>
          <m:t>∈</m:t>
        </m:r>
        <m:r>
          <m:rPr>
            <m:sty m:val="p"/>
          </m:rPr>
          <m:t>[</m:t>
        </m:r>
        <m:r>
          <m:t>2.4</m:t>
        </m:r>
        <m:r>
          <m:rPr>
            <m:sty m:val="p"/>
          </m:rPr>
          <m:t>,</m:t>
        </m:r>
        <m:r>
          <m:t>3.0</m:t>
        </m:r>
        <m:r>
          <m:rPr>
            <m:sty m:val="p"/>
          </m:rPr>
          <m:t>]</m:t>
        </m:r>
      </m:oMath>
      <w:r>
        <w:t xml:space="preserve"> km s</w:t>
      </w:r>
      <w:r>
        <w:rPr>
          <w:vertAlign w:val="superscript"/>
        </w:rPr>
        <w:t xml:space="preserve">−1</w:t>
      </w:r>
      <w:r>
        <w:t xml:space="preserve"> </w:t>
      </w:r>
      <w:r>
        <w:t xml:space="preserve">per g 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 s</w:t>
      </w:r>
      <w:r>
        <w:rPr>
          <w:vertAlign w:val="superscript"/>
        </w:rPr>
        <w:t xml:space="preserve">−1</w:t>
      </w:r>
      <w:r>
        <w:t xml:space="preserve"> </w:t>
      </w:r>
      <w:r>
        <w:t xml:space="preserve">per 100 kJ mol</w:t>
      </w:r>
      <w:r>
        <w:rPr>
          <w:vertAlign w:val="superscript"/>
        </w:rPr>
        <w:t xml:space="preserve">−1</w:t>
      </w:r>
      <w:r>
        <w:t xml:space="preserve">; see Table 2) confirms that residual K-J vs Uni-Mol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p>
      <w:pPr>
        <w:pStyle w:val="MDPI22heading2"/>
        <w:ind w:left="2608"/>
      </w:pPr>
      <w:r>
        <w:t xml:space="preserve">D. Reproducibility details and extended ablations</w:t>
      </w:r>
    </w:p>
    <w:p>
      <w:pPr>
        <w:pStyle w:val="MDPI18keywords"/>
        <w:ind w:left="2608"/>
      </w:pPr>
      <w:r>
        <w:t xml:space="preserve">This appendix collects implementation-specific names, version codes, hardware configurations, hyperparameter ablations, and supporting configuration detail not required for the body claims but are needed for full reproducibility.</w:t>
      </w:r>
    </w:p>
    <w:p>
      <w:pPr>
        <w:pStyle w:val="MDPI18keywords"/>
        <w:ind w:left="2608"/>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Section 4.10 + Table S5)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MDPI18keywords"/>
        <w:ind w:left="2608"/>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MDPI18keywords"/>
        <w:ind w:left="2608"/>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Supplementary Section B.</w:t>
      </w:r>
    </w:p>
    <w:p>
      <w:pPr>
        <w:pStyle w:val="MDPI18keywords"/>
        <w:ind w:left="2608"/>
      </w:pPr>
      <w:r>
        <w:rPr>
          <w:b/>
          <w:bCs/>
        </w:rPr>
        <w:t xml:space="preserve">D.4 High-tail oversampling ablation.</w:t>
      </w:r>
      <w:r>
        <w:t xml:space="preserve"> </w:t>
      </w:r>
      <w:r>
        <w:t xml:space="preserve">Reverting the asymmetric oversampling of Section 4.3 produces leads with a 0.4 km s</w:t>
      </w:r>
      <w:r>
        <w:rPr>
          <w:vertAlign w:val="superscript"/>
        </w:rPr>
        <w:t xml:space="preserve">−1</w:t>
      </w:r>
      <w:r>
        <w:t xml:space="preserve"> </w:t>
      </w:r>
      <w:r>
        <w:t xml:space="preserve">lower mean predicted detonation velocity at matched pool size and matched downstream pipeline.</w:t>
      </w:r>
    </w:p>
    <w:p>
      <w:pPr>
        <w:pStyle w:val="MDPI18keywords"/>
        <w:ind w:left="2608"/>
      </w:pPr>
      <w:r>
        <w:rPr>
          <w:b/>
          <w:bCs/>
        </w:rPr>
        <w:t xml:space="preserve">D.5 Diagnostic protocol.</w:t>
      </w:r>
      <w:r>
        <w:t xml:space="preserve"> </w:t>
      </w:r>
      <w:r>
        <w:t xml:space="preserve">The guidance patching of Section 4.12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MDPI18keywords"/>
        <w:ind w:left="2608"/>
      </w:pPr>
      <w:r>
        <w:rPr>
          <w:b/>
          <w:bCs/>
        </w:rPr>
        <w:t xml:space="preserve">D.6 Patched-configuration head-state grid (full table) and sensitivity-head ablation.</w:t>
      </w:r>
      <w:r>
        <w:t xml:space="preserve"> </w:t>
      </w:r>
      <w:r>
        <w:t xml:space="preserve">Section 2.3 reports the headline finding (12 cells collapsing to 4 distinct outputs); the full md5 cluster table is:</w:t>
      </w:r>
    </w:p>
    <w:p>
      <w:pPr>
        <w:pStyle w:val="MDPI41tablecaption"/>
        <w:ind w:left="2608"/>
      </w:pPr>
      <w:r>
        <w:rPr>
          <w:b/>
          <w:bCs/>
        </w:rPr>
        <w:t xml:space="preserve">Table S14.</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45"/>
        <w:gridCol w:w="2819"/>
        <w:gridCol w:w="2023"/>
        <w:gridCol w:w="1871"/>
      </w:tblGrid>
      <w:tr>
        <w:trPr>
          <w:tblHeader w:val="on"/>
        </w:trPr>
        <w:tc>
          <w:tcPr>
            <w:tcBorders>
              <w:bottom w:val="single" w:sz="8" w:space="0" w:color="auto"/>
            </w:tcBorders>
            <w:vAlign w:val="center"/>
          </w:tcPr>
          <w:p>
            <w:pPr>
              <w:pStyle w:val="Compact"/>
              <w:suppressAutoHyphens/>
              <w:jc w:val="center"/>
            </w:pPr>
            <w:r>
              <w:rPr>
                <w:b/>
                <w:sz w:val="18"/>
                <w:szCs w:val="18"/>
              </w:rPr>
              <w:t xml:space="preserve">Cluster</w:t>
            </w:r>
          </w:p>
        </w:tc>
        <w:tc>
          <w:tcPr>
            <w:tcBorders>
              <w:bottom w:val="single" w:sz="8" w:space="0" w:color="auto"/>
            </w:tcBorders>
            <w:vAlign w:val="center"/>
          </w:tcPr>
          <w:p>
            <w:pPr>
              <w:pStyle w:val="Compact"/>
              <w:suppressAutoHyphens/>
              <w:jc w:val="center"/>
            </w:pPr>
            <w:r>
              <w:rPr>
                <w:b/>
                <w:sz w:val="18"/>
                <w:szCs w:val="18"/>
              </w:rPr>
              <w:t xml:space="preserve">cells</w:t>
            </w:r>
          </w:p>
        </w:tc>
        <w:tc>
          <w:tcPr>
            <w:tcBorders>
              <w:bottom w:val="single" w:sz="8" w:space="0" w:color="auto"/>
            </w:tcBorders>
            <w:vAlign w:val="center"/>
          </w:tcPr>
          <w:p>
            <w:pPr>
              <w:pStyle w:val="Compact"/>
              <w:suppressAutoHyphens/>
              <w:jc w:val="center"/>
            </w:pPr>
            <w:r>
              <w:rPr>
                <w:b/>
                <w:sz w:val="18"/>
                <w:szCs w:val="18"/>
              </w:rPr>
              <w:t xml:space="preserve">head-state</w:t>
            </w:r>
          </w:p>
        </w:tc>
        <w:tc>
          <w:tcPr>
            <w:tcBorders>
              <w:bottom w:val="single" w:sz="8" w:space="0" w:color="auto"/>
            </w:tcBorders>
            <w:vAlign w:val="center"/>
          </w:tcPr>
          <w:p>
            <w:pPr>
              <w:pStyle w:val="Compact"/>
              <w:suppressAutoHyphens/>
              <w:jc w:val="center"/>
            </w:pPr>
            <w:r>
              <w:rPr>
                <w:b/>
                <w:sz w:val="18"/>
                <w:szCs w:val="18"/>
              </w:rPr>
              <w:t xml:space="preserve">output md5 prefix</w:t>
            </w:r>
          </w:p>
        </w:tc>
      </w:tr>
      <w:tr>
        <w:tc>
          <w:tcPr>
            <w:vAlign w:val="center"/>
          </w:tcPr>
          <w:p>
            <w:pPr>
              <w:pStyle w:val="Compact"/>
              <w:suppressAutoHyphens/>
              <w:jc w:val="center"/>
            </w:pPr>
            <w:r>
              <w:rPr>
                <w:b/>
                <w:bCs/>
                <w:sz w:val="18"/>
                <w:szCs w:val="18"/>
              </w:rPr>
              <w:t xml:space="preserve">A</w:t>
            </w:r>
          </w:p>
        </w:tc>
        <w:tc>
          <w:tcPr>
            <w:vAlign w:val="center"/>
          </w:tcPr>
          <w:p>
            <w:pPr>
              <w:pStyle w:val="Compact"/>
              <w:suppressAutoHyphens/>
              <w:jc w:val="center"/>
            </w:pPr>
            <w:r>
              <w:rPr>
                <w:sz w:val="18"/>
                <w:szCs w:val="18"/>
              </w:rPr>
              <w:t xml:space="preserve">sv0_sh0 (1)</w:t>
            </w:r>
          </w:p>
        </w:tc>
        <w:tc>
          <w:tcPr>
            <w:vAlign w:val="center"/>
          </w:tcPr>
          <w:p>
            <w:pPr>
              <w:pStyle w:val="Compact"/>
              <w:suppressAutoHyphens/>
              <w:jc w:val="center"/>
            </w:pPr>
            <w:r>
              <w:rPr>
                <w:sz w:val="18"/>
                <w:szCs w:val="18"/>
              </w:rPr>
              <w:t xml:space="preserve">unguided / CFG-only</w:t>
            </w:r>
          </w:p>
        </w:tc>
        <w:tc>
          <w:tcPr>
            <w:vAlign w:val="center"/>
          </w:tcPr>
          <w:p>
            <w:pPr>
              <w:pStyle w:val="Compact"/>
              <w:suppressAutoHyphens/>
              <w:jc w:val="center"/>
            </w:pPr>
            <w:r>
              <w:rPr>
                <w:rStyle w:val="VerbatimChar"/>
                <w:sz w:val="18"/>
                <w:szCs w:val="18"/>
              </w:rPr>
              <w:t xml:space="preserve">f0438f…</w:t>
            </w:r>
          </w:p>
        </w:tc>
      </w:tr>
      <w:tr>
        <w:tc>
          <w:tcPr>
            <w:vAlign w:val="center"/>
          </w:tcPr>
          <w:p>
            <w:pPr>
              <w:pStyle w:val="Compact"/>
              <w:suppressAutoHyphens/>
              <w:jc w:val="center"/>
            </w:pPr>
            <w:r>
              <w:rPr>
                <w:b/>
                <w:bCs/>
                <w:sz w:val="18"/>
                <w:szCs w:val="18"/>
              </w:rPr>
              <w:t xml:space="preserve">B</w:t>
            </w:r>
          </w:p>
        </w:tc>
        <w:tc>
          <w:tcPr>
            <w:vAlign w:val="center"/>
          </w:tcPr>
          <w:p>
            <w:pPr>
              <w:pStyle w:val="Compact"/>
              <w:suppressAutoHyphens/>
              <w:jc w:val="center"/>
            </w:pPr>
            <w:r>
              <w:rPr>
                <w:sz w:val="18"/>
                <w:szCs w:val="18"/>
              </w:rPr>
              <w:t xml:space="preserve">sv0_sh{1,2,5} (3)</w:t>
            </w:r>
          </w:p>
        </w:tc>
        <w:tc>
          <w:tcPr>
            <w:vAlign w:val="center"/>
          </w:tcPr>
          <w:p>
            <w:pPr>
              <w:pStyle w:val="Compact"/>
              <w:suppressAutoHyphens/>
              <w:jc w:val="center"/>
            </w:pPr>
            <w:r>
              <w:rPr>
                <w:sz w:val="18"/>
                <w:szCs w:val="18"/>
              </w:rPr>
              <w:t xml:space="preserve">hazard-only</w:t>
            </w:r>
          </w:p>
        </w:tc>
        <w:tc>
          <w:tcPr>
            <w:vAlign w:val="center"/>
          </w:tcPr>
          <w:p>
            <w:pPr>
              <w:pStyle w:val="Compact"/>
              <w:suppressAutoHyphens/>
              <w:jc w:val="center"/>
            </w:pPr>
            <w:r>
              <w:rPr>
                <w:rStyle w:val="VerbatimChar"/>
                <w:sz w:val="18"/>
                <w:szCs w:val="18"/>
              </w:rPr>
              <w:t xml:space="preserve">93da34…</w:t>
            </w:r>
          </w:p>
        </w:tc>
      </w:tr>
      <w:tr>
        <w:tc>
          <w:tcPr>
            <w:vAlign w:val="center"/>
          </w:tcPr>
          <w:p>
            <w:pPr>
              <w:pStyle w:val="Compact"/>
              <w:suppressAutoHyphens/>
              <w:jc w:val="center"/>
            </w:pPr>
            <w:r>
              <w:rPr>
                <w:b/>
                <w:bCs/>
                <w:sz w:val="18"/>
                <w:szCs w:val="18"/>
              </w:rPr>
              <w:t xml:space="preserve">C</w:t>
            </w:r>
          </w:p>
        </w:tc>
        <w:tc>
          <w:tcPr>
            <w:vAlign w:val="center"/>
          </w:tcPr>
          <w:p>
            <w:pPr>
              <w:pStyle w:val="Compact"/>
              <w:suppressAutoHyphens/>
              <w:jc w:val="center"/>
            </w:pPr>
            <w:r>
              <w:rPr>
                <w:sz w:val="18"/>
                <w:szCs w:val="18"/>
              </w:rPr>
              <w:t xml:space="preserve">sv{1,5}_sh0 (2)</w:t>
            </w:r>
          </w:p>
        </w:tc>
        <w:tc>
          <w:tcPr>
            <w:vAlign w:val="center"/>
          </w:tcPr>
          <w:p>
            <w:pPr>
              <w:pStyle w:val="Compact"/>
              <w:suppressAutoHyphens/>
              <w:jc w:val="center"/>
            </w:pPr>
            <w:r>
              <w:rPr>
                <w:sz w:val="18"/>
                <w:szCs w:val="18"/>
              </w:rPr>
              <w:t xml:space="preserve">viab-only</w:t>
            </w:r>
          </w:p>
        </w:tc>
        <w:tc>
          <w:tcPr>
            <w:vAlign w:val="center"/>
          </w:tcPr>
          <w:p>
            <w:pPr>
              <w:pStyle w:val="Compact"/>
              <w:suppressAutoHyphens/>
              <w:jc w:val="center"/>
            </w:pPr>
            <w:r>
              <w:rPr>
                <w:rStyle w:val="VerbatimChar"/>
                <w:sz w:val="18"/>
                <w:szCs w:val="18"/>
              </w:rPr>
              <w:t xml:space="preserve">c83f06…</w:t>
            </w:r>
          </w:p>
        </w:tc>
      </w:tr>
      <w:tr>
        <w:tc>
          <w:tcPr>
            <w:vAlign w:val="center"/>
          </w:tcPr>
          <w:p>
            <w:pPr>
              <w:pStyle w:val="Compact"/>
              <w:suppressAutoHyphens/>
              <w:jc w:val="center"/>
            </w:pPr>
            <w:r>
              <w:rPr>
                <w:b/>
                <w:bCs/>
                <w:sz w:val="18"/>
                <w:szCs w:val="18"/>
              </w:rPr>
              <w:t xml:space="preserve">D</w:t>
            </w:r>
          </w:p>
        </w:tc>
        <w:tc>
          <w:tcPr>
            <w:vAlign w:val="center"/>
          </w:tcPr>
          <w:p>
            <w:pPr>
              <w:pStyle w:val="Compact"/>
              <w:suppressAutoHyphens/>
              <w:jc w:val="center"/>
            </w:pPr>
            <w:r>
              <w:rPr>
                <w:sz w:val="18"/>
                <w:szCs w:val="18"/>
              </w:rPr>
              <w:t xml:space="preserve">sv{1,5}_sh{1,2,5} (6)</w:t>
            </w:r>
          </w:p>
        </w:tc>
        <w:tc>
          <w:tcPr>
            <w:vAlign w:val="center"/>
          </w:tcPr>
          <w:p>
            <w:pPr>
              <w:pStyle w:val="Compact"/>
              <w:suppressAutoHyphens/>
              <w:jc w:val="center"/>
            </w:pPr>
            <w:r>
              <w:rPr>
                <w:sz w:val="18"/>
                <w:szCs w:val="18"/>
              </w:rPr>
              <w:t xml:space="preserve">viab + hazard</w:t>
            </w:r>
          </w:p>
        </w:tc>
        <w:tc>
          <w:tcPr>
            <w:vAlign w:val="center"/>
          </w:tcPr>
          <w:p>
            <w:pPr>
              <w:pStyle w:val="Compact"/>
              <w:suppressAutoHyphens/>
              <w:jc w:val="center"/>
            </w:pPr>
            <w:r>
              <w:rPr>
                <w:rStyle w:val="VerbatimChar"/>
                <w:sz w:val="18"/>
                <w:szCs w:val="18"/>
              </w:rPr>
              <w:t xml:space="preserve">e26b43…</w:t>
            </w:r>
          </w:p>
        </w:tc>
      </w:tr>
    </w:tbl>
    <w:p>
      <w:pPr>
        <w:pStyle w:val="MDPI18keywords"/>
        <w:ind w:left="2608"/>
      </w:pPr>
      <w:r>
        <w:t xml:space="preserve">Within each cluster, per-head scale magnitude does not alter the output: the gradient-norm clamp saturates as soon as a head is active, so all non-zero scales in a cluster are equivalent. Fine analogue scale control requires tightening the clamp (see Supplementary Section B.3).</w:t>
      </w:r>
    </w:p>
    <w:p>
      <w:pPr>
        <w:pStyle w:val="MDPI18keywords"/>
        <w:ind w:left="2608"/>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(Supplementary Section B.2):</w:t>
      </w:r>
    </w:p>
    <w:p>
      <w:pPr>
        <w:pStyle w:val="MDPI41tablecaption"/>
        <w:ind w:left="2608"/>
      </w:pPr>
      <w:r>
        <w:rPr>
          <w:b/>
          <w:bCs/>
        </w:rPr>
        <w:t xml:space="preserve">Table S15.</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 s</w:t>
      </w:r>
      <w:r>
        <w:rPr>
          <w:vertAlign w:val="superscript"/>
        </w:rPr>
        <w:t xml:space="preserve">−1</w:t>
      </w:r>
      <w:r>
        <w:t xml:space="preserve"> </w:t>
      </w:r>
      <w:r>
        <w:t xml:space="preserve">on top-1</w:t>
      </w:r>
      <w:r>
        <w:t xml:space="preserve"> </w:t>
      </w:r>
      <m:oMath>
        <m:r>
          <m:t>D</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679"/>
        <w:gridCol w:w="970"/>
        <w:gridCol w:w="1134"/>
        <w:gridCol w:w="876"/>
        <w:gridCol w:w="1156"/>
        <w:gridCol w:w="104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sens</w:t>
            </w:r>
          </w:p>
        </w:tc>
        <w:tc>
          <w:tcPr>
            <w:tcBorders>
              <w:bottom w:val="single" w:sz="8" w:space="0" w:color="auto"/>
            </w:tcBorders>
            <w:vAlign w:val="center"/>
          </w:tcPr>
          <w:p>
            <w:pPr>
              <w:pStyle w:val="Compact"/>
              <w:suppressAutoHyphens/>
              <w:jc w:val="center"/>
            </w:pPr>
            <w:r>
              <w:rPr>
                <w:b/>
                <w:sz w:val="18"/>
                <w:szCs w:val="18"/>
              </w:rPr>
              <w:t xml:space="preserve">top-5 mean sens</w:t>
            </w:r>
          </w:p>
        </w:tc>
        <w:tc>
          <w:tcPr>
            <w:tcBorders>
              <w:bottom w:val="single" w:sz="8" w:space="0" w:color="auto"/>
            </w:tcBorders>
            <w:vAlign w:val="center"/>
          </w:tcPr>
          <w:p>
            <w:pPr>
              <w:pStyle w:val="Compact"/>
              <w:suppressAutoHyphens/>
              <w:jc w:val="center"/>
            </w:pPr>
            <w:r>
              <w:rPr>
                <w:b/>
                <w:sz w:val="18"/>
                <w:szCs w:val="18"/>
              </w:rPr>
              <w:t xml:space="preserve">top-5 mean</w:t>
            </w:r>
            <w:r>
              <w:rPr>
                <w:b/>
                <w:sz w:val="18"/>
                <w:szCs w:val="18"/>
              </w:rPr>
              <w:t xml:space="preserve"> </w:t>
            </w:r>
            <m:oMath>
              <m:r>
                <w:rPr>
                  <w:sz w:val="18"/>
                  <w:szCs w:val="18"/>
                </w:rPr>
                <m:t>D</m:t>
              </m:r>
            </m:oMath>
          </w:p>
        </w:tc>
      </w:tr>
      <w:tr>
        <w:tc>
          <w:tcPr>
            <w:vAlign w:val="center"/>
          </w:tcPr>
          <w:p>
            <w:pPr>
              <w:pStyle w:val="Compact"/>
              <w:suppressAutoHyphens/>
              <w:jc w:val="center"/>
            </w:pPr>
            <w:r>
              <w:rPr>
                <w:sz w:val="18"/>
                <w:szCs w:val="18"/>
              </w:rPr>
              <w:t xml:space="preserve">A. unguided (no score model)</w:t>
            </w:r>
          </w:p>
        </w:tc>
        <w:tc>
          <w:tcPr>
            <w:vAlign w:val="center"/>
          </w:tcPr>
          <w:p>
            <w:pPr>
              <w:pStyle w:val="Compact"/>
              <w:suppressAutoHyphens/>
              <w:jc w:val="center"/>
            </w:pPr>
            <w:r>
              <w:rPr>
                <w:sz w:val="18"/>
                <w:szCs w:val="18"/>
              </w:rPr>
              <w:t xml:space="preserve">0.602</w:t>
            </w:r>
          </w:p>
        </w:tc>
        <w:tc>
          <w:tcPr>
            <w:vAlign w:val="center"/>
          </w:tcPr>
          <w:p>
            <w:pPr>
              <w:pStyle w:val="Compact"/>
              <w:suppressAutoHyphens/>
              <w:jc w:val="center"/>
            </w:pPr>
            <w:r>
              <w:rPr>
                <w:sz w:val="18"/>
                <w:szCs w:val="18"/>
              </w:rPr>
              <w:t xml:space="preserve">9.27</w:t>
            </w:r>
          </w:p>
        </w:tc>
        <w:tc>
          <w:tcPr>
            <w:vAlign w:val="center"/>
          </w:tcPr>
          <w:p>
            <w:pPr>
              <w:pStyle w:val="Compact"/>
              <w:suppressAutoHyphens/>
              <w:jc w:val="center"/>
            </w:pPr>
            <w:r>
              <w:rPr>
                <w:sz w:val="18"/>
                <w:szCs w:val="18"/>
              </w:rPr>
              <w:t xml:space="preserve">0.11</w:t>
            </w:r>
          </w:p>
        </w:tc>
        <w:tc>
          <w:tcPr>
            <w:vAlign w:val="center"/>
          </w:tcPr>
          <w:p>
            <w:pPr>
              <w:pStyle w:val="Compact"/>
              <w:suppressAutoHyphens/>
              <w:jc w:val="center"/>
            </w:pPr>
            <w:r>
              <w:rPr>
                <w:sz w:val="18"/>
                <w:szCs w:val="18"/>
              </w:rPr>
              <w:t xml:space="preserve">0.20</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B. heuristic sensitivity head</w:t>
            </w:r>
          </w:p>
        </w:tc>
        <w:tc>
          <w:tcPr>
            <w:vAlign w:val="center"/>
          </w:tcPr>
          <w:p>
            <w:pPr>
              <w:pStyle w:val="Compact"/>
              <w:suppressAutoHyphens/>
              <w:jc w:val="center"/>
            </w:pPr>
            <w:r>
              <w:rPr>
                <w:sz w:val="18"/>
                <w:szCs w:val="18"/>
              </w:rPr>
              <w:t xml:space="preserve">0.414</w:t>
            </w:r>
          </w:p>
        </w:tc>
        <w:tc>
          <w:tcPr>
            <w:vAlign w:val="center"/>
          </w:tcPr>
          <w:p>
            <w:pPr>
              <w:pStyle w:val="Compact"/>
              <w:suppressAutoHyphens/>
              <w:jc w:val="center"/>
            </w:pPr>
            <w:r>
              <w:rPr>
                <w:b/>
                <w:bCs/>
                <w:sz w:val="18"/>
                <w:szCs w:val="18"/>
              </w:rPr>
              <w:t xml:space="preserve">9.46</w:t>
            </w:r>
          </w:p>
        </w:tc>
        <w:tc>
          <w:tcPr>
            <w:vAlign w:val="center"/>
          </w:tcPr>
          <w:p>
            <w:pPr>
              <w:pStyle w:val="Compact"/>
              <w:suppressAutoHyphens/>
              <w:jc w:val="center"/>
            </w:pPr>
            <w:r>
              <w:rPr>
                <w:sz w:val="18"/>
                <w:szCs w:val="18"/>
              </w:rPr>
              <w:t xml:space="preserve">0.75</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9.02</w:t>
            </w:r>
          </w:p>
        </w:tc>
      </w:tr>
      <w:tr>
        <w:tc>
          <w:tcPr>
            <w:vAlign w:val="center"/>
          </w:tcPr>
          <w:p>
            <w:pPr>
              <w:pStyle w:val="Compact"/>
              <w:suppressAutoHyphens/>
              <w:jc w:val="center"/>
            </w:pPr>
            <w:r>
              <w:rPr>
                <w:sz w:val="18"/>
                <w:szCs w:val="18"/>
              </w:rPr>
              <w:t xml:space="preserve">C. literature-grounded sensitivity head (h</w:t>
            </w:r>
            <w:r>
              <w:rPr>
                <w:vertAlign w:val="subscript"/>
                <w:sz w:val="18"/>
                <w:szCs w:val="18"/>
              </w:rPr>
              <w:t xml:space="preserve">50</w:t>
            </w:r>
            <w:r>
              <w:rPr>
                <w:sz w:val="18"/>
                <w:szCs w:val="18"/>
              </w:rPr>
              <w:t xml:space="preserve">)</w:t>
            </w:r>
          </w:p>
        </w:tc>
        <w:tc>
          <w:tcPr>
            <w:vAlign w:val="center"/>
          </w:tcPr>
          <w:p>
            <w:pPr>
              <w:pStyle w:val="Compact"/>
              <w:suppressAutoHyphens/>
              <w:jc w:val="center"/>
            </w:pPr>
            <w:r>
              <w:rPr>
                <w:sz w:val="18"/>
                <w:szCs w:val="18"/>
              </w:rPr>
              <w:t xml:space="preserve">0.421</w:t>
            </w:r>
          </w:p>
        </w:tc>
        <w:tc>
          <w:tcPr>
            <w:vAlign w:val="center"/>
          </w:tcPr>
          <w:p>
            <w:pPr>
              <w:pStyle w:val="Compact"/>
              <w:suppressAutoHyphens/>
              <w:jc w:val="center"/>
            </w:pPr>
            <w:r>
              <w:rPr>
                <w:sz w:val="18"/>
                <w:szCs w:val="18"/>
              </w:rPr>
              <w:t xml:space="preserve">8.75</w:t>
            </w:r>
          </w:p>
        </w:tc>
        <w:tc>
          <w:tcPr>
            <w:vAlign w:val="center"/>
          </w:tcPr>
          <w:p>
            <w:pPr>
              <w:pStyle w:val="Compact"/>
              <w:suppressAutoHyphens/>
              <w:jc w:val="center"/>
            </w:pPr>
            <w:r>
              <w:rPr>
                <w:b/>
                <w:bCs/>
                <w:sz w:val="18"/>
                <w:szCs w:val="18"/>
              </w:rPr>
              <w:t xml:space="preserve">0.00</w:t>
            </w:r>
          </w:p>
        </w:tc>
        <w:tc>
          <w:tcPr>
            <w:vAlign w:val="center"/>
          </w:tcPr>
          <w:p>
            <w:pPr>
              <w:pStyle w:val="Compact"/>
              <w:suppressAutoHyphens/>
              <w:jc w:val="center"/>
            </w:pPr>
            <w:r>
              <w:rPr>
                <w:b/>
                <w:bCs/>
                <w:sz w:val="18"/>
                <w:szCs w:val="18"/>
              </w:rPr>
              <w:t xml:space="preserve">0.04</w:t>
            </w:r>
          </w:p>
        </w:tc>
        <w:tc>
          <w:tcPr>
            <w:vAlign w:val="center"/>
          </w:tcPr>
          <w:p>
            <w:pPr>
              <w:pStyle w:val="Compact"/>
              <w:suppressAutoHyphens/>
              <w:jc w:val="center"/>
            </w:pPr>
            <w:r>
              <w:rPr>
                <w:sz w:val="18"/>
                <w:szCs w:val="18"/>
              </w:rPr>
              <w:t xml:space="preserve">8.63</w:t>
            </w:r>
          </w:p>
        </w:tc>
      </w:tr>
    </w:tbl>
    <w:p>
      <w:pPr>
        <w:pStyle w:val="MDPI18keywords"/>
        <w:ind w:left="2608"/>
      </w:pPr>
      <w:r>
        <w:t xml:space="preserve">The literature-grounded h50 head reduces top-5 mean sensitivity by ~8× at the cost of ~0.4 km s</w:t>
      </w:r>
      <w:r>
        <w:rPr>
          <w:vertAlign w:val="superscript"/>
        </w:rPr>
        <w:t xml:space="preserve">−1</w:t>
      </w:r>
      <w:r>
        <w:t xml:space="preserve"> </w:t>
      </w:r>
      <w:r>
        <w:t xml:space="preserve">on top-1 D; preferred when candidate stability is the priority over peak performance.</w:t>
      </w:r>
    </w:p>
    <w:p>
      <w:pPr>
        <w:pStyle w:val="MDPI18keywords"/>
        <w:ind w:left="2608"/>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(Section 2.4):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MDPI41tablecaption"/>
        <w:ind w:left="2608"/>
      </w:pPr>
      <w:r>
        <w:rPr>
          <w:b/>
          <w:bCs/>
        </w:rPr>
        <w:t xml:space="preserve">Table S16.</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6103"/>
        <w:gridCol w:w="1755"/>
      </w:tblGrid>
      <w:tr>
        <w:trPr>
          <w:tblHeader w:val="on"/>
        </w:trPr>
        <w:tc>
          <w:tcPr>
            <w:tcBorders>
              <w:bottom w:val="single" w:sz="8" w:space="0" w:color="auto"/>
            </w:tcBorders>
            <w:vAlign w:val="center"/>
          </w:tcPr>
          <w:p>
            <w:pPr>
              <w:pStyle w:val="Compact"/>
              <w:suppressAutoHyphens/>
              <w:jc w:val="center"/>
            </w:pPr>
            <w:r>
              <w:rPr>
                <w:b/>
                <w:sz w:val="18"/>
                <w:szCs w:val="18"/>
              </w:rPr>
              <w:t xml:space="preserve">Reject class</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N-nitroimine</w:t>
            </w:r>
          </w:p>
        </w:tc>
        <w:tc>
          <w:tcPr>
            <w:vAlign w:val="center"/>
          </w:tcPr>
          <w:p>
            <w:pPr>
              <w:pStyle w:val="Compact"/>
              <w:suppressAutoHyphens/>
              <w:jc w:val="center"/>
            </w:pPr>
            <w:r>
              <w:rPr>
                <w:sz w:val="18"/>
                <w:szCs w:val="18"/>
              </w:rPr>
              <w:t xml:space="preserve">14</w:t>
            </w:r>
          </w:p>
        </w:tc>
      </w:tr>
      <w:tr>
        <w:tc>
          <w:tcPr>
            <w:vAlign w:val="center"/>
          </w:tcPr>
          <w:p>
            <w:pPr>
              <w:pStyle w:val="Compact"/>
              <w:suppressAutoHyphens/>
              <w:jc w:val="center"/>
            </w:pPr>
            <w:r>
              <w:rPr>
                <w:sz w:val="18"/>
                <w:szCs w:val="18"/>
              </w:rPr>
              <w:t xml:space="preserve">terminal azo−NO</w:t>
            </w:r>
            <w:r>
              <w:rPr>
                <w:vertAlign w:val="subscript"/>
                <w:sz w:val="18"/>
                <w:szCs w:val="18"/>
              </w:rPr>
              <w:t xml:space="preserve">2</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azo−amino−NO</w:t>
            </w:r>
            <w:r>
              <w:rPr>
                <w:vertAlign w:val="subscript"/>
                <w:sz w:val="18"/>
                <w:szCs w:val="18"/>
              </w:rPr>
              <w:t xml:space="preserve">2</w:t>
            </w:r>
          </w:p>
        </w:tc>
        <w:tc>
          <w:tcPr>
            <w:vAlign w:val="center"/>
          </w:tcPr>
          <w:p>
            <w:pPr>
              <w:pStyle w:val="Compact"/>
              <w:suppressAutoHyphens/>
              <w:jc w:val="center"/>
            </w:pPr>
            <w:r>
              <w:rPr>
                <w:sz w:val="18"/>
                <w:szCs w:val="18"/>
              </w:rPr>
              <w:t xml:space="preserve">2</w:t>
            </w:r>
          </w:p>
        </w:tc>
      </w:tr>
      <w:tr>
        <w:tc>
          <w:tcPr>
            <w:vAlign w:val="center"/>
          </w:tcPr>
          <w:p>
            <w:pPr>
              <w:pStyle w:val="Compact"/>
              <w:suppressAutoHyphens/>
              <w:jc w:val="center"/>
            </w:pPr>
            <w:r>
              <w:rPr>
                <w:sz w:val="18"/>
                <w:szCs w:val="18"/>
              </w:rPr>
              <w:t xml:space="preserve">cumulated cyclopropene (residual)</w:t>
            </w:r>
          </w:p>
        </w:tc>
        <w:tc>
          <w:tcPr>
            <w:vAlign w:val="center"/>
          </w:tcPr>
          <w:p>
            <w:pPr>
              <w:pStyle w:val="Compact"/>
              <w:suppressAutoHyphens/>
              <w:jc w:val="center"/>
            </w:pPr>
            <w:r>
              <w:rPr>
                <w:sz w:val="18"/>
                <w:szCs w:val="18"/>
              </w:rPr>
              <w:t xml:space="preserve">1</w:t>
            </w:r>
          </w:p>
        </w:tc>
      </w:tr>
      <w:tr>
        <w:tc>
          <w:tcPr>
            <w:vAlign w:val="center"/>
          </w:tcPr>
          <w:p>
            <w:pPr>
              <w:pStyle w:val="Compact"/>
              <w:suppressAutoHyphens/>
              <w:jc w:val="center"/>
            </w:pPr>
            <w:r>
              <w:rPr>
                <w:b/>
                <w:bCs/>
                <w:sz w:val="18"/>
                <w:szCs w:val="18"/>
              </w:rPr>
              <w:t xml:space="preserve">Total rejected</w:t>
            </w:r>
          </w:p>
        </w:tc>
        <w:tc>
          <w:tcPr>
            <w:vAlign w:val="center"/>
          </w:tcPr>
          <w:p>
            <w:pPr>
              <w:pStyle w:val="Compact"/>
              <w:suppressAutoHyphens/>
              <w:jc w:val="center"/>
            </w:pPr>
            <w:r>
              <w:rPr>
                <w:b/>
                <w:bCs/>
                <w:sz w:val="18"/>
                <w:szCs w:val="18"/>
              </w:rPr>
              <w:t xml:space="preserve">23 / 100</w:t>
            </w:r>
          </w:p>
        </w:tc>
      </w:tr>
    </w:tbl>
    <w:p>
      <w:pPr>
        <w:pStyle w:val="MDPI18keywords"/>
        <w:ind w:left="2608"/>
      </w:pPr>
      <w:r>
        <w:t xml:space="preserve">The strengthened filter retains 77/100 candidates; the rank-1 trinitro-isoxazole survives. Crossing with the xTB HOMO-LUMO ≥ 1.5 eV gate gives an estimated 60-65/100 dual-pass set; 77/100 is the conservative figure used by the validation chain.</w:t>
      </w:r>
    </w:p>
    <w:p>
      <w:pPr>
        <w:pStyle w:val="MDPI23heading3"/>
        <w:ind w:left="2608"/>
      </w:pPr>
      <w:r>
        <w:t xml:space="preserve">D.8 CFG-scale ablation</w:t>
      </w:r>
    </w:p>
    <w:p>
      <w:pPr>
        <w:pStyle w:val="MDPI18keywords"/>
        <w:ind w:left="2608"/>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23).</w:t>
      </w:r>
    </w:p>
    <w:p>
      <w:pPr>
        <w:pStyle w:val="MDPI18keywords"/>
        <w:ind w:left="2608"/>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p>
      <w:pPr>
        <w:pStyle w:val="MDPI41tablecaption"/>
        <w:ind w:left="2608"/>
      </w:pPr>
      <w:r>
        <w:rPr>
          <w:b/>
          <w:bCs/>
        </w:rPr>
        <w:t xml:space="preserve">Table S17.</w:t>
      </w:r>
      <w:r>
        <w:t xml:space="preserve"> </w:t>
      </w:r>
      <w:r>
        <w:t xml:space="preserve">Per-property quantile-match error (mean relative error, %) for the v4b production-architecture classifier-free guidance-scale sweep, at guidance scales g = 2.0, 5.0, and 7.0; lower is better.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63"/>
        <w:gridCol w:w="1715"/>
        <w:gridCol w:w="1226"/>
        <w:gridCol w:w="1226"/>
        <w:gridCol w:w="1228"/>
      </w:tblGrid>
      <w:tr>
        <w:trPr>
          <w:tblHeader w:val="on"/>
        </w:trPr>
        <w:tc>
          <w:tcPr>
            <w:tcBorders>
              <w:bottom w:val="single" w:sz="8" w:space="0" w:color="auto"/>
            </w:tcBorders>
            <w:vAlign w:val="center"/>
          </w:tcPr>
          <w:p>
            <w:pPr>
              <w:pStyle w:val="Compact"/>
              <w:suppressAutoHyphens/>
              <w:jc w:val="center"/>
            </w:pPr>
            <w:r>
              <w:rPr>
                <w:b/>
                <w:sz w:val="18"/>
                <w:szCs w:val="18"/>
              </w:rPr>
              <w:t xml:space="preserve">Property</w:t>
            </w:r>
          </w:p>
        </w:tc>
        <w:tc>
          <w:tcPr>
            <w:tcBorders>
              <w:bottom w:val="single" w:sz="8" w:space="0" w:color="auto"/>
            </w:tcBorders>
            <w:vAlign w:val="center"/>
          </w:tcPr>
          <w:p>
            <w:pPr>
              <w:pStyle w:val="Compact"/>
              <w:suppressAutoHyphens/>
              <w:jc w:val="center"/>
            </w:pPr>
            <w:r>
              <w:rPr>
                <w:b/>
                <w:sz w:val="18"/>
                <w:szCs w:val="18"/>
              </w:rPr>
              <w:t xml:space="preserve">Target quantile</w:t>
            </w:r>
          </w:p>
        </w:tc>
        <w:tc>
          <w:tcPr>
            <w:tcBorders>
              <w:bottom w:val="single" w:sz="8" w:space="0" w:color="auto"/>
            </w:tcBorders>
            <w:vAlign w:val="center"/>
          </w:tcPr>
          <w:p>
            <w:pPr>
              <w:pStyle w:val="Compact"/>
              <w:suppressAutoHyphens/>
              <w:jc w:val="center"/>
            </w:pPr>
            <w:r>
              <w:rPr>
                <w:b/>
                <w:sz w:val="18"/>
                <w:szCs w:val="18"/>
              </w:rPr>
              <w:t xml:space="preserve">g=2.0 rel-err%</w:t>
            </w:r>
          </w:p>
        </w:tc>
        <w:tc>
          <w:tcPr>
            <w:tcBorders>
              <w:bottom w:val="single" w:sz="8" w:space="0" w:color="auto"/>
            </w:tcBorders>
            <w:vAlign w:val="center"/>
          </w:tcPr>
          <w:p>
            <w:pPr>
              <w:pStyle w:val="Compact"/>
              <w:suppressAutoHyphens/>
              <w:jc w:val="center"/>
            </w:pPr>
            <w:r>
              <w:rPr>
                <w:b/>
                <w:sz w:val="18"/>
                <w:szCs w:val="18"/>
              </w:rPr>
              <w:t xml:space="preserve">g=5.0 rel-err%</w:t>
            </w:r>
          </w:p>
        </w:tc>
        <w:tc>
          <w:tcPr>
            <w:tcBorders>
              <w:bottom w:val="single" w:sz="8" w:space="0" w:color="auto"/>
            </w:tcBorders>
            <w:vAlign w:val="center"/>
          </w:tcPr>
          <w:p>
            <w:pPr>
              <w:pStyle w:val="Compact"/>
              <w:suppressAutoHyphens/>
              <w:jc w:val="center"/>
            </w:pPr>
            <w:r>
              <w:rPr>
                <w:b/>
                <w:sz w:val="18"/>
                <w:szCs w:val="18"/>
              </w:rPr>
              <w:t xml:space="preserve">g=7.0 rel-err%</w:t>
            </w:r>
          </w:p>
        </w:tc>
      </w:tr>
      <w:tr>
        <w:tc>
          <w:tcPr>
            <w:vAlign w:val="center"/>
          </w:tcPr>
          <w:p>
            <w:pPr>
              <w:pStyle w:val="Compact"/>
              <w:suppressAutoHyphens/>
              <w:jc w:val="center"/>
            </w:pPr>
            <w:r>
              <w:rPr>
                <w:sz w:val="18"/>
                <w:szCs w:val="18"/>
              </w:rPr>
              <w:t xml:space="preserve">density</w:t>
            </w:r>
          </w:p>
        </w:tc>
        <w:tc>
          <w:tcPr>
            <w:vAlign w:val="center"/>
          </w:tcPr>
          <w:p>
            <w:pPr>
              <w:pStyle w:val="Compact"/>
              <w:suppressAutoHyphens/>
              <w:jc w:val="center"/>
            </w:pPr>
            <w:r>
              <w:rPr>
                <w:sz w:val="18"/>
                <w:szCs w:val="18"/>
              </w:rPr>
              <w:t xml:space="preserve">q90 (target +1.83)</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heat_of_formation</w:t>
            </w:r>
          </w:p>
        </w:tc>
        <w:tc>
          <w:tcPr>
            <w:vAlign w:val="center"/>
          </w:tcPr>
          <w:p>
            <w:pPr>
              <w:pStyle w:val="Compact"/>
              <w:suppressAutoHyphens/>
              <w:jc w:val="center"/>
            </w:pPr>
            <w:r>
              <w:rPr>
                <w:sz w:val="18"/>
                <w:szCs w:val="18"/>
              </w:rPr>
              <w:t xml:space="preserve">q90 (target +267.75)</w:t>
            </w:r>
          </w:p>
        </w:tc>
        <w:tc>
          <w:tcPr>
            <w:vAlign w:val="center"/>
          </w:tcPr>
          <w:p>
            <w:pPr>
              <w:pStyle w:val="Compact"/>
              <w:suppressAutoHyphens/>
              <w:jc w:val="center"/>
            </w:pPr>
            <w:r>
              <w:rPr>
                <w:sz w:val="18"/>
                <w:szCs w:val="18"/>
              </w:rPr>
              <w:t xml:space="preserve">212</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171</w:t>
            </w:r>
          </w:p>
        </w:tc>
      </w:tr>
      <w:tr>
        <w:tc>
          <w:tcPr>
            <w:vAlign w:val="center"/>
          </w:tcPr>
          <w:p>
            <w:pPr>
              <w:pStyle w:val="Compact"/>
              <w:suppressAutoHyphens/>
              <w:jc w:val="center"/>
            </w:pPr>
            <w:r>
              <w:rPr>
                <w:sz w:val="18"/>
                <w:szCs w:val="18"/>
              </w:rPr>
              <w:t xml:space="preserve">detonation_velocity</w:t>
            </w:r>
          </w:p>
        </w:tc>
        <w:tc>
          <w:tcPr>
            <w:vAlign w:val="center"/>
          </w:tcPr>
          <w:p>
            <w:pPr>
              <w:pStyle w:val="Compact"/>
              <w:suppressAutoHyphens/>
              <w:jc w:val="center"/>
            </w:pPr>
            <w:r>
              <w:rPr>
                <w:sz w:val="18"/>
                <w:szCs w:val="18"/>
              </w:rPr>
              <w:t xml:space="preserve">q90 (target +7.86)</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17</w:t>
            </w:r>
          </w:p>
        </w:tc>
        <w:tc>
          <w:tcPr>
            <w:vAlign w:val="center"/>
          </w:tcPr>
          <w:p>
            <w:pPr>
              <w:pStyle w:val="Compact"/>
              <w:suppressAutoHyphens/>
              <w:jc w:val="center"/>
            </w:pPr>
            <w:r>
              <w:rPr>
                <w:sz w:val="18"/>
                <w:szCs w:val="18"/>
              </w:rPr>
              <w:t xml:space="preserve">12</w:t>
            </w:r>
          </w:p>
        </w:tc>
      </w:tr>
      <w:tr>
        <w:tc>
          <w:tcPr>
            <w:vAlign w:val="center"/>
          </w:tcPr>
          <w:p>
            <w:pPr>
              <w:pStyle w:val="Compact"/>
              <w:suppressAutoHyphens/>
              <w:jc w:val="center"/>
            </w:pPr>
            <w:r>
              <w:rPr>
                <w:sz w:val="18"/>
                <w:szCs w:val="18"/>
              </w:rPr>
              <w:t xml:space="preserve">detonation_pressure</w:t>
            </w:r>
          </w:p>
        </w:tc>
        <w:tc>
          <w:tcPr>
            <w:vAlign w:val="center"/>
          </w:tcPr>
          <w:p>
            <w:pPr>
              <w:pStyle w:val="Compact"/>
              <w:suppressAutoHyphens/>
              <w:jc w:val="center"/>
            </w:pPr>
            <w:r>
              <w:rPr>
                <w:sz w:val="18"/>
                <w:szCs w:val="18"/>
              </w:rPr>
              <w:t xml:space="preserve">q90 (target +26.57)</w:t>
            </w:r>
          </w:p>
        </w:tc>
        <w:tc>
          <w:tcPr>
            <w:vAlign w:val="center"/>
          </w:tcPr>
          <w:p>
            <w:pPr>
              <w:pStyle w:val="Compact"/>
              <w:suppressAutoHyphens/>
              <w:jc w:val="center"/>
            </w:pPr>
            <w:r>
              <w:rPr>
                <w:sz w:val="18"/>
                <w:szCs w:val="18"/>
              </w:rPr>
              <w:t xml:space="preserve">49</w:t>
            </w:r>
          </w:p>
        </w:tc>
        <w:tc>
          <w:tcPr>
            <w:vAlign w:val="center"/>
          </w:tcPr>
          <w:p>
            <w:pPr>
              <w:pStyle w:val="Compact"/>
              <w:suppressAutoHyphens/>
              <w:jc w:val="center"/>
            </w:pPr>
            <w:r>
              <w:rPr>
                <w:sz w:val="18"/>
                <w:szCs w:val="18"/>
              </w:rPr>
              <w:t xml:space="preserve">30</w:t>
            </w:r>
          </w:p>
        </w:tc>
        <w:tc>
          <w:tcPr>
            <w:vAlign w:val="center"/>
          </w:tcPr>
          <w:p>
            <w:pPr>
              <w:pStyle w:val="Compact"/>
              <w:suppressAutoHyphens/>
              <w:jc w:val="center"/>
            </w:pPr>
            <w:r>
              <w:rPr>
                <w:sz w:val="18"/>
                <w:szCs w:val="18"/>
              </w:rPr>
              <w:t xml:space="preserve">26</w:t>
            </w:r>
          </w:p>
        </w:tc>
      </w:tr>
    </w:tbl>
    <w:p>
      <w:pPr>
        <w:pStyle w:val="MDPI23heading3"/>
        <w:ind w:left="2608"/>
      </w:pPr>
      <w:r>
        <w:t xml:space="preserve">D.9 Hard-negative viability-head augmentation ablation</w:t>
      </w:r>
    </w:p>
    <w:p>
      <w:pPr>
        <w:pStyle w:val="MDPI18keywords"/>
        <w:ind w:left="2608"/>
      </w:pPr>
      <w:r>
        <w:t xml:space="preserve">We trained two variants of the multi-head model on identical noised-latent inputs to compare hard-negative-augmentation budgets:</w:t>
      </w:r>
    </w:p>
    <w:p>
      <w:pPr>
        <w:pStyle w:val="Compact"/>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MDPI18keywords"/>
        <w:ind w:left="2608"/>
      </w:pPr>
      <w:r>
        <w:t xml:space="preserve">On a held-out probe of seven anchor energetics (RDX, HMX, TNT, FOX-7, PETN, TATB, NTO)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p>
      <w:pPr>
        <w:pStyle w:val="MDPI23heading3"/>
        <w:ind w:left="2608"/>
      </w:pPr>
      <w:r>
        <w:t xml:space="preserve">D.10 Reproducibility across pool sizes</w:t>
      </w:r>
    </w:p>
    <w:p>
      <w:pPr>
        <w:pStyle w:val="MDPI18keywords"/>
        <w:ind w:left="2608"/>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 s</w:t>
      </w:r>
      <w:r>
        <w:rPr>
          <w:vertAlign w:val="superscript"/>
        </w:rPr>
        <w:t xml:space="preserve">−1</w:t>
      </w:r>
      <w:r>
        <w:t xml:space="preserve">)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Section 4.15. The composite-score distribution over the top-200 of an unguided pool=40 000 run is shown in Fig S2.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Section 4.13.</w:t>
      </w:r>
    </w:p>
    <w:p xmlns:a="http://schemas.openxmlformats.org/drawingml/2006/main" xmlns:pic="http://schemas.openxmlformats.org/drawingml/2006/picture">
      <w:pPr>
        <w:pStyle w:val="MDPI52figure"/>
        <w:ind w:left="2608"/>
        <w:jc w:val="center"/>
      </w:pPr>
      <w:r>
        <w:drawing>
          <wp:inline>
            <wp:extent cx="4989830" cy="2641904"/>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0"/>
                    <a:stretch>
                      <a:fillRect/>
                    </a:stretch>
                  </pic:blipFill>
                  <pic:spPr bwMode="auto">
                    <a:xfrm>
                      <a:off x="0" y="0"/>
                      <a:ext cx="4989830" cy="2641904"/>
                    </a:xfrm>
                    <a:prstGeom prst="rect">
                      <a:avLst/>
                    </a:prstGeom>
                    <a:noFill/>
                    <a:ln w="9525">
                      <a:noFill/>
                      <a:headEnd/>
                      <a:tailEnd/>
                    </a:ln>
                  </pic:spPr>
                </pic:pic>
              </a:graphicData>
            </a:graphic>
          </wp:inline>
        </w:drawing>
      </w:r>
    </w:p>
    <w:p>
      <w:pPr>
        <w:pStyle w:val="MDPI51figurecaption"/>
        <w:ind w:left="2608"/>
      </w:pPr>
      <w:r>
        <w:rPr>
          <w:b/>
          <w:bCs/>
        </w:rPr>
        <w:t xml:space="preserve">Figure S2.</w:t>
      </w:r>
      <w:r>
        <w:t xml:space="preserve"> </w:t>
      </w:r>
      <w:r>
        <w:t xml:space="preserve">Distribution of composite scores over the top-200 of an unguided pool=40 000 run after the Pareto scaffold-aware ranker (range [0.564, 0.831]).</w:t>
      </w:r>
    </w:p>
    <w:p>
      <w:pPr>
        <w:pStyle w:val="MDPI18keywords"/>
        <w:ind w:left="2608"/>
      </w:pPr>
      <w:r>
        <w:rPr>
          <w:b/>
          <w:bCs/>
        </w:rPr>
        <w:t xml:space="preserve">Pool-fusion provenance of the merged top-100.</w:t>
      </w:r>
      <w:r>
        <w:t xml:space="preserve"> </w:t>
      </w:r>
      <w:r>
        <w:t xml:space="preserve">Applying Section 4.14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S3). The Pareto reranker (scaffold-aware composite) is the dominant ranker; the largest contributor is the smallest unguided pool, while classifier-guided runs supply scaffold diversity at the top end. The trinitro-isoxazole rank-1 itself comes from a guided run.</w:t>
      </w:r>
    </w:p>
    <w:p xmlns:a="http://schemas.openxmlformats.org/drawingml/2006/main" xmlns:pic="http://schemas.openxmlformats.org/drawingml/2006/picture">
      <w:pPr>
        <w:pStyle w:val="MDPI52figure"/>
        <w:ind w:left="2608"/>
        <w:jc w:val="center"/>
      </w:pPr>
      <w:r>
        <w:drawing>
          <wp:inline>
            <wp:extent cx="4989830" cy="2376801"/>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1"/>
                    <a:stretch>
                      <a:fillRect/>
                    </a:stretch>
                  </pic:blipFill>
                  <pic:spPr bwMode="auto">
                    <a:xfrm>
                      <a:off x="0" y="0"/>
                      <a:ext cx="4989830" cy="2376801"/>
                    </a:xfrm>
                    <a:prstGeom prst="rect">
                      <a:avLst/>
                    </a:prstGeom>
                    <a:noFill/>
                    <a:ln w="9525">
                      <a:noFill/>
                      <a:headEnd/>
                      <a:tailEnd/>
                    </a:ln>
                  </pic:spPr>
                </pic:pic>
              </a:graphicData>
            </a:graphic>
          </wp:inline>
        </w:drawing>
      </w:r>
    </w:p>
    <w:p>
      <w:pPr>
        <w:pStyle w:val="MDPI51figurecaption"/>
        <w:ind w:left="2608"/>
      </w:pPr>
      <w:r>
        <w:rPr>
          <w:b/>
          <w:bCs/>
        </w:rPr>
        <w:t xml:space="preserve">Figure S3.</w:t>
      </w:r>
      <w:r>
        <w:t xml:space="preserve"> </w:t>
      </w:r>
      <w:r>
        <w:t xml:space="preserve">Source-pool contributions to the merged top-100. The unguided pool=40 000 supplies 89 of the top-100; classifier-guided runs and the larger unguided pool contribute incremental scaffold diversity at the top.</w:t>
      </w:r>
    </w:p>
    <w:p>
      <w:pPr>
        <w:pStyle w:val="MDPI23heading3"/>
        <w:ind w:left="2608"/>
      </w:pPr>
      <w:r>
        <w:t xml:space="preserve">D.11 Distribution-learning metrics</w:t>
      </w:r>
    </w:p>
    <w:p>
      <w:pPr>
        <w:pStyle w:val="MDPI18keywords"/>
        <w:ind w:left="2608"/>
      </w:pPr>
      <w:r>
        <w:t xml:space="preserve">To address standard distribution-learning benchmarks expected by NMI reviewers, we report MOSES-style metrics</w:t>
      </w:r>
      <w:r>
        <w:t xml:space="preserve"> </w:t>
      </w:r>
      <w:hyperlink w:anchor="ref-polykovskiy2020moses">
        <w:r>
          <w:rPr>
            <w:rStyle w:val="Hyperlink"/>
          </w:rPr>
          <w:t xml:space="preserve">[16]</w:t>
        </w:r>
      </w:hyperlink>
      <w:r>
        <w:t xml:space="preserve"> </w:t>
      </w:r>
      <w:r>
        <w:t xml:space="preserve">on the four guidance conditions of Supplementary Section F.3 at pool=10 000 each (10k SMILES per condition):</w:t>
      </w:r>
    </w:p>
    <w:p>
      <w:pPr>
        <w:pStyle w:val="MDPI41tablecaption"/>
        <w:ind w:left="2608"/>
      </w:pPr>
      <w:r>
        <w:rPr>
          <w:b/>
          <w:bCs/>
        </w:rPr>
        <w:t xml:space="preserve">Table S18.</w:t>
      </w:r>
      <w:r>
        <w:t xml:space="preserve"> </w:t>
      </w:r>
      <w:r>
        <w:t xml:space="preserve">MOSES-style distribution-learning metrics on each of the four guidance conditions of Supplementary Section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499"/>
        <w:gridCol w:w="752"/>
        <w:gridCol w:w="1018"/>
        <w:gridCol w:w="756"/>
        <w:gridCol w:w="760"/>
        <w:gridCol w:w="865"/>
        <w:gridCol w:w="725"/>
        <w:gridCol w:w="893"/>
        <w:gridCol w:w="5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BM scaffolds</w:t>
            </w:r>
          </w:p>
        </w:tc>
        <w:tc>
          <w:tcPr>
            <w:tcBorders>
              <w:bottom w:val="single" w:sz="8" w:space="0" w:color="auto"/>
            </w:tcBorders>
            <w:vAlign w:val="center"/>
          </w:tcPr>
          <w:p>
            <w:pPr>
              <w:pStyle w:val="Compact"/>
              <w:suppressAutoHyphens/>
              <w:jc w:val="center"/>
            </w:pPr>
            <w:r>
              <w:rPr>
                <w:b/>
                <w:sz w:val="18"/>
                <w:szCs w:val="18"/>
              </w:rPr>
              <w:t xml:space="preserve">PAINS-pass</w:t>
            </w:r>
          </w:p>
        </w:tc>
        <w:tc>
          <w:tcPr>
            <w:tcBorders>
              <w:bottom w:val="single" w:sz="8" w:space="0" w:color="auto"/>
            </w:tcBorders>
            <w:vAlign w:val="center"/>
          </w:tcPr>
          <w:p>
            <w:pPr>
              <w:pStyle w:val="Compact"/>
              <w:suppressAutoHyphens/>
              <w:jc w:val="center"/>
            </w:pPr>
            <w:r>
              <w:rPr>
                <w:b/>
                <w:sz w:val="18"/>
                <w:szCs w:val="18"/>
              </w:rPr>
              <w:t xml:space="preserve">energetic-SMARTS-pass</w:t>
            </w:r>
          </w:p>
        </w:tc>
        <w:tc>
          <w:tcPr>
            <w:tcBorders>
              <w:bottom w:val="single" w:sz="8" w:space="0" w:color="auto"/>
            </w:tcBorders>
            <w:vAlign w:val="center"/>
          </w:tcPr>
          <w:p>
            <w:pPr>
              <w:pStyle w:val="Compact"/>
              <w:suppressAutoHyphens/>
              <w:jc w:val="center"/>
            </w:pPr>
            <w:r>
              <w:rPr>
                <w:b/>
                <w:sz w:val="18"/>
                <w:szCs w:val="18"/>
              </w:rPr>
              <w:t xml:space="preserve">SNN to LM</w:t>
            </w:r>
          </w:p>
        </w:tc>
      </w:tr>
      <w:tr>
        <w:tc>
          <w:tcPr>
            <w:vAlign w:val="center"/>
          </w:tcPr>
          <w:p>
            <w:pPr>
              <w:pStyle w:val="Compact"/>
              <w:suppressAutoHyphens/>
              <w:jc w:val="center"/>
            </w:pPr>
            <w:r>
              <w:rPr>
                <w:sz w:val="18"/>
                <w:szCs w:val="18"/>
              </w:rPr>
              <w:t xml:space="preserve">C0 unguided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0.728</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0.845</w:t>
            </w:r>
          </w:p>
        </w:tc>
        <w:tc>
          <w:tcPr>
            <w:vAlign w:val="center"/>
          </w:tcPr>
          <w:p>
            <w:pPr>
              <w:pStyle w:val="Compact"/>
              <w:suppressAutoHyphens/>
              <w:jc w:val="center"/>
            </w:pPr>
            <w:r>
              <w:rPr>
                <w:sz w:val="18"/>
                <w:szCs w:val="18"/>
              </w:rPr>
              <w:t xml:space="preserve">125</w:t>
            </w:r>
          </w:p>
        </w:tc>
        <w:tc>
          <w:tcPr>
            <w:vAlign w:val="center"/>
          </w:tcPr>
          <w:p>
            <w:pPr>
              <w:pStyle w:val="Compact"/>
              <w:suppressAutoHyphens/>
              <w:jc w:val="center"/>
            </w:pPr>
            <w:r>
              <w:rPr>
                <w:sz w:val="18"/>
                <w:szCs w:val="18"/>
              </w:rPr>
              <w:t xml:space="preserve">0.861</w:t>
            </w:r>
          </w:p>
        </w:tc>
        <w:tc>
          <w:tcPr>
            <w:vAlign w:val="center"/>
          </w:tcPr>
          <w:p>
            <w:pPr>
              <w:pStyle w:val="Compact"/>
              <w:suppressAutoHyphens/>
              <w:jc w:val="center"/>
            </w:pPr>
            <w:r>
              <w:rPr>
                <w:sz w:val="18"/>
                <w:szCs w:val="18"/>
              </w:rPr>
              <w:t xml:space="preserve">0.301</w:t>
            </w:r>
          </w:p>
        </w:tc>
        <w:tc>
          <w:tcPr>
            <w:vAlign w:val="center"/>
          </w:tcPr>
          <w:p>
            <w:pPr>
              <w:pStyle w:val="Compact"/>
              <w:suppressAutoHyphens/>
              <w:jc w:val="center"/>
            </w:pPr>
            <w:r>
              <w:rPr>
                <w:sz w:val="18"/>
                <w:szCs w:val="18"/>
              </w:rPr>
              <w:t xml:space="preserve">0.328</w:t>
            </w:r>
          </w:p>
        </w:tc>
      </w:tr>
      <w:tr>
        <w:tc>
          <w:tcPr>
            <w:vAlign w:val="center"/>
          </w:tcPr>
          <w:p>
            <w:pPr>
              <w:pStyle w:val="Compact"/>
              <w:suppressAutoHyphens/>
              <w:jc w:val="center"/>
            </w:pPr>
            <w:r>
              <w:rPr>
                <w:sz w:val="18"/>
                <w:szCs w:val="18"/>
              </w:rPr>
              <w:t xml:space="preserve">C1 viab+sens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0.639</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62</w:t>
            </w:r>
          </w:p>
        </w:tc>
        <w:tc>
          <w:tcPr>
            <w:vAlign w:val="center"/>
          </w:tcPr>
          <w:p>
            <w:pPr>
              <w:pStyle w:val="Compact"/>
              <w:suppressAutoHyphens/>
              <w:jc w:val="center"/>
            </w:pPr>
            <w:r>
              <w:rPr>
                <w:sz w:val="18"/>
                <w:szCs w:val="18"/>
              </w:rPr>
              <w:t xml:space="preserve">0.804</w:t>
            </w:r>
          </w:p>
        </w:tc>
        <w:tc>
          <w:tcPr>
            <w:vAlign w:val="center"/>
          </w:tcPr>
          <w:p>
            <w:pPr>
              <w:pStyle w:val="Compact"/>
              <w:suppressAutoHyphens/>
              <w:jc w:val="center"/>
            </w:pPr>
            <w:r>
              <w:rPr>
                <w:sz w:val="18"/>
                <w:szCs w:val="18"/>
              </w:rPr>
              <w:t xml:space="preserve">0.259</w:t>
            </w:r>
          </w:p>
        </w:tc>
        <w:tc>
          <w:tcPr>
            <w:vAlign w:val="center"/>
          </w:tcPr>
          <w:p>
            <w:pPr>
              <w:pStyle w:val="Compact"/>
              <w:suppressAutoHyphens/>
              <w:jc w:val="center"/>
            </w:pPr>
            <w:r>
              <w:rPr>
                <w:sz w:val="18"/>
                <w:szCs w:val="18"/>
              </w:rPr>
              <w:t xml:space="preserve">0.309</w:t>
            </w:r>
          </w:p>
        </w:tc>
      </w:tr>
      <w:tr>
        <w:tc>
          <w:tcPr>
            <w:vAlign w:val="center"/>
          </w:tcPr>
          <w:p>
            <w:pPr>
              <w:pStyle w:val="Compact"/>
              <w:suppressAutoHyphens/>
              <w:jc w:val="center"/>
            </w:pPr>
            <w:r>
              <w:rPr>
                <w:sz w:val="18"/>
                <w:szCs w:val="18"/>
              </w:rPr>
              <w:t xml:space="preserve">C2 viab+sens+hazard</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0.572</w:t>
            </w:r>
          </w:p>
        </w:tc>
        <w:tc>
          <w:tcPr>
            <w:vAlign w:val="center"/>
          </w:tcPr>
          <w:p>
            <w:pPr>
              <w:pStyle w:val="Compact"/>
              <w:suppressAutoHyphens/>
              <w:jc w:val="center"/>
            </w:pPr>
            <w:r>
              <w:rPr>
                <w:sz w:val="18"/>
                <w:szCs w:val="18"/>
              </w:rPr>
              <w:t xml:space="preserve">0.999</w:t>
            </w:r>
          </w:p>
        </w:tc>
        <w:tc>
          <w:tcPr>
            <w:vAlign w:val="center"/>
          </w:tcPr>
          <w:p>
            <w:pPr>
              <w:pStyle w:val="Compact"/>
              <w:suppressAutoHyphens/>
              <w:jc w:val="center"/>
            </w:pPr>
            <w:r>
              <w:rPr>
                <w:sz w:val="18"/>
                <w:szCs w:val="18"/>
              </w:rPr>
              <w:t xml:space="preserve">0.851</w:t>
            </w:r>
          </w:p>
        </w:tc>
        <w:tc>
          <w:tcPr>
            <w:vAlign w:val="center"/>
          </w:tcPr>
          <w:p>
            <w:pPr>
              <w:pStyle w:val="Compact"/>
              <w:suppressAutoHyphens/>
              <w:jc w:val="center"/>
            </w:pPr>
            <w:r>
              <w:rPr>
                <w:sz w:val="18"/>
                <w:szCs w:val="18"/>
              </w:rPr>
              <w:t xml:space="preserve">71</w:t>
            </w:r>
          </w:p>
        </w:tc>
        <w:tc>
          <w:tcPr>
            <w:vAlign w:val="center"/>
          </w:tcPr>
          <w:p>
            <w:pPr>
              <w:pStyle w:val="Compact"/>
              <w:suppressAutoHyphens/>
              <w:jc w:val="center"/>
            </w:pPr>
            <w:r>
              <w:rPr>
                <w:sz w:val="18"/>
                <w:szCs w:val="18"/>
              </w:rPr>
              <w:t xml:space="preserve">0.775</w:t>
            </w:r>
          </w:p>
        </w:tc>
        <w:tc>
          <w:tcPr>
            <w:vAlign w:val="center"/>
          </w:tcPr>
          <w:p>
            <w:pPr>
              <w:pStyle w:val="Compact"/>
              <w:suppressAutoHyphens/>
              <w:jc w:val="center"/>
            </w:pPr>
            <w:r>
              <w:rPr>
                <w:sz w:val="18"/>
                <w:szCs w:val="18"/>
              </w:rPr>
              <w:t xml:space="preserve">0.246</w:t>
            </w:r>
          </w:p>
        </w:tc>
        <w:tc>
          <w:tcPr>
            <w:vAlign w:val="center"/>
          </w:tcPr>
          <w:p>
            <w:pPr>
              <w:pStyle w:val="Compact"/>
              <w:suppressAutoHyphens/>
              <w:jc w:val="center"/>
            </w:pPr>
            <w:r>
              <w:rPr>
                <w:sz w:val="18"/>
                <w:szCs w:val="18"/>
              </w:rPr>
              <w:t xml:space="preserve">0.292</w:t>
            </w:r>
          </w:p>
        </w:tc>
      </w:tr>
      <w:tr>
        <w:tc>
          <w:tcPr>
            <w:vAlign w:val="center"/>
          </w:tcPr>
          <w:p>
            <w:pPr>
              <w:pStyle w:val="Compact"/>
              <w:suppressAutoHyphens/>
              <w:jc w:val="center"/>
            </w:pPr>
            <w:r>
              <w:rPr>
                <w:sz w:val="18"/>
                <w:szCs w:val="18"/>
              </w:rPr>
              <w:t xml:space="preserve">C3 hazard-only</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0.732</w:t>
            </w:r>
          </w:p>
        </w:tc>
        <w:tc>
          <w:tcPr>
            <w:vAlign w:val="center"/>
          </w:tcPr>
          <w:p>
            <w:pPr>
              <w:pStyle w:val="Compact"/>
              <w:suppressAutoHyphens/>
              <w:jc w:val="center"/>
            </w:pPr>
            <w:r>
              <w:rPr>
                <w:sz w:val="18"/>
                <w:szCs w:val="18"/>
              </w:rPr>
              <w:t xml:space="preserve">0.998</w:t>
            </w:r>
          </w:p>
        </w:tc>
        <w:tc>
          <w:tcPr>
            <w:vAlign w:val="center"/>
          </w:tcPr>
          <w:p>
            <w:pPr>
              <w:pStyle w:val="Compact"/>
              <w:suppressAutoHyphens/>
              <w:jc w:val="center"/>
            </w:pPr>
            <w:r>
              <w:rPr>
                <w:sz w:val="18"/>
                <w:szCs w:val="18"/>
              </w:rPr>
              <w:t xml:space="preserve">0.858</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0.844</w:t>
            </w:r>
          </w:p>
        </w:tc>
        <w:tc>
          <w:tcPr>
            <w:vAlign w:val="center"/>
          </w:tcPr>
          <w:p>
            <w:pPr>
              <w:pStyle w:val="Compact"/>
              <w:suppressAutoHyphens/>
              <w:jc w:val="center"/>
            </w:pPr>
            <w:r>
              <w:rPr>
                <w:sz w:val="18"/>
                <w:szCs w:val="18"/>
              </w:rPr>
              <w:t xml:space="preserve">0.260</w:t>
            </w:r>
          </w:p>
        </w:tc>
        <w:tc>
          <w:tcPr>
            <w:vAlign w:val="center"/>
          </w:tcPr>
          <w:p>
            <w:pPr>
              <w:pStyle w:val="Compact"/>
              <w:suppressAutoHyphens/>
              <w:jc w:val="center"/>
            </w:pPr>
            <w:r>
              <w:rPr>
                <w:sz w:val="18"/>
                <w:szCs w:val="18"/>
              </w:rPr>
              <w:t xml:space="preserve">0.306</w:t>
            </w:r>
          </w:p>
        </w:tc>
      </w:tr>
    </w:tbl>
    <w:p>
      <w:pPr>
        <w:pStyle w:val="MDPI18keywords"/>
        <w:ind w:left="2608"/>
      </w:pPr>
      <w:r>
        <w:t xml:space="preserve">The MOSES small-multiples figure (validity, scaffold uniqueness, internal diversity, FCD) has been promoted into Section 2.5 as Fig 8.</w:t>
      </w:r>
    </w:p>
    <w:p>
      <w:pPr>
        <w:pStyle w:val="MDPI18keywords"/>
        <w:ind w:left="2608"/>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S19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S18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MDPI41tablecaption"/>
        <w:ind w:left="2608"/>
      </w:pPr>
      <w:r>
        <w:rPr>
          <w:b/>
          <w:bCs/>
        </w:rPr>
        <w:t xml:space="preserve">Table S19.</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25"/>
        <w:gridCol w:w="900"/>
        <w:gridCol w:w="1265"/>
        <w:gridCol w:w="1034"/>
        <w:gridCol w:w="1013"/>
        <w:gridCol w:w="831"/>
        <w:gridCol w:w="1090"/>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validity</w:t>
            </w:r>
          </w:p>
        </w:tc>
        <w:tc>
          <w:tcPr>
            <w:tcBorders>
              <w:bottom w:val="single" w:sz="8" w:space="0" w:color="auto"/>
            </w:tcBorders>
            <w:vAlign w:val="center"/>
          </w:tcPr>
          <w:p>
            <w:pPr>
              <w:pStyle w:val="Compact"/>
              <w:suppressAutoHyphens/>
              <w:jc w:val="center"/>
            </w:pPr>
            <w:r>
              <w:rPr>
                <w:b/>
                <w:sz w:val="18"/>
                <w:szCs w:val="18"/>
              </w:rPr>
              <w:t xml:space="preserve">uniqueness</w:t>
            </w:r>
          </w:p>
        </w:tc>
        <w:tc>
          <w:tcPr>
            <w:tcBorders>
              <w:bottom w:val="single" w:sz="8" w:space="0" w:color="auto"/>
            </w:tcBorders>
            <w:vAlign w:val="center"/>
          </w:tcPr>
          <w:p>
            <w:pPr>
              <w:pStyle w:val="Compact"/>
              <w:suppressAutoHyphens/>
              <w:jc w:val="center"/>
            </w:pPr>
            <w:r>
              <w:rPr>
                <w:b/>
                <w:sz w:val="18"/>
                <w:szCs w:val="18"/>
              </w:rPr>
              <w:t xml:space="preserve">novelty (vs LM)</w:t>
            </w:r>
          </w:p>
        </w:tc>
        <w:tc>
          <w:tcPr>
            <w:tcBorders>
              <w:bottom w:val="single" w:sz="8" w:space="0" w:color="auto"/>
            </w:tcBorders>
            <w:vAlign w:val="center"/>
          </w:tcPr>
          <w:p>
            <w:pPr>
              <w:pStyle w:val="Compact"/>
              <w:suppressAutoHyphens/>
              <w:jc w:val="center"/>
            </w:pPr>
            <w:r>
              <w:rPr>
                <w:b/>
                <w:sz w:val="18"/>
                <w:szCs w:val="18"/>
              </w:rPr>
              <w:t xml:space="preserve">IntDiv1</w:t>
            </w:r>
          </w:p>
        </w:tc>
        <w:tc>
          <w:tcPr>
            <w:tcBorders>
              <w:bottom w:val="single" w:sz="8" w:space="0" w:color="auto"/>
            </w:tcBorders>
            <w:vAlign w:val="center"/>
          </w:tcPr>
          <w:p>
            <w:pPr>
              <w:pStyle w:val="Compact"/>
              <w:suppressAutoHyphens/>
              <w:jc w:val="center"/>
            </w:pPr>
            <w:r>
              <w:rPr>
                <w:b/>
                <w:sz w:val="18"/>
                <w:szCs w:val="18"/>
              </w:rPr>
              <w:t xml:space="preserve">SNN to LM</w:t>
            </w:r>
          </w:p>
        </w:tc>
        <w:tc>
          <w:tcPr>
            <w:tcBorders>
              <w:bottom w:val="single" w:sz="8" w:space="0" w:color="auto"/>
            </w:tcBorders>
            <w:vAlign w:val="center"/>
          </w:tcPr>
          <w:p>
            <w:pPr>
              <w:pStyle w:val="Compact"/>
              <w:suppressAutoHyphens/>
              <w:jc w:val="center"/>
            </w:pPr>
            <w:r>
              <w:rPr>
                <w:b/>
                <w:sz w:val="18"/>
                <w:szCs w:val="18"/>
              </w:rPr>
              <w:t xml:space="preserve">BM scaffolds</w:t>
            </w:r>
          </w:p>
        </w:tc>
      </w:tr>
      <w:tr>
        <w:tc>
          <w:tcPr>
            <w:vAlign w:val="center"/>
          </w:tcPr>
          <w:p>
            <w:pPr>
              <w:pStyle w:val="Compact"/>
              <w:suppressAutoHyphens/>
              <w:jc w:val="center"/>
            </w:pPr>
            <w:r>
              <w:rPr>
                <w:sz w:val="18"/>
                <w:szCs w:val="18"/>
              </w:rPr>
              <w:t xml:space="preserve">C0 unguided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0.671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1262</w:t>
            </w:r>
            <w:r>
              <w:rPr>
                <w:sz w:val="18"/>
                <w:szCs w:val="18"/>
              </w:rPr>
              <w:t xml:space="preserve"> </w:t>
            </w:r>
            <m:oMath>
              <m:r>
                <w:rPr>
                  <w:sz w:val="18"/>
                  <w:szCs w:val="18"/>
                </w:rPr>
                <m:rPr>
                  <m:sty m:val="p"/>
                </m:rPr>
                <m:t>±</m:t>
              </m:r>
            </m:oMath>
            <w:r>
              <w:rPr>
                <w:sz w:val="18"/>
                <w:szCs w:val="18"/>
              </w:rPr>
              <w:t xml:space="preserve"> </w:t>
            </w:r>
            <w:r>
              <w:rPr>
                <w:sz w:val="18"/>
                <w:szCs w:val="18"/>
              </w:rPr>
              <w:t xml:space="preserve">10</w:t>
            </w:r>
          </w:p>
        </w:tc>
      </w:tr>
      <w:tr>
        <w:tc>
          <w:tcPr>
            <w:vAlign w:val="center"/>
          </w:tcPr>
          <w:p>
            <w:pPr>
              <w:pStyle w:val="Compact"/>
              <w:suppressAutoHyphens/>
              <w:jc w:val="center"/>
            </w:pPr>
            <w:r>
              <w:rPr>
                <w:sz w:val="18"/>
                <w:szCs w:val="18"/>
              </w:rPr>
              <w:t xml:space="preserve">C1 viab-only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0.660</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0.999</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0.830</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0.221</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1113</w:t>
            </w:r>
            <w:r>
              <w:rPr>
                <w:sz w:val="18"/>
                <w:szCs w:val="18"/>
              </w:rPr>
              <w:t xml:space="preserve"> </w:t>
            </w:r>
            <m:oMath>
              <m:r>
                <w:rPr>
                  <w:sz w:val="18"/>
                  <w:szCs w:val="18"/>
                </w:rPr>
                <m:rPr>
                  <m:sty m:val="p"/>
                </m:rPr>
                <m:t>±</m:t>
              </m:r>
            </m:oMath>
            <w:r>
              <w:rPr>
                <w:sz w:val="18"/>
                <w:szCs w:val="18"/>
              </w:rPr>
              <w:t xml:space="preserve"> </w:t>
            </w:r>
            <w:r>
              <w:rPr>
                <w:sz w:val="18"/>
                <w:szCs w:val="18"/>
              </w:rPr>
              <w:t xml:space="preserve">21</w:t>
            </w:r>
          </w:p>
        </w:tc>
      </w:tr>
      <w:tr>
        <w:tc>
          <w:tcPr>
            <w:vAlign w:val="center"/>
          </w:tcPr>
          <w:p>
            <w:pPr>
              <w:pStyle w:val="Compact"/>
              <w:suppressAutoHyphens/>
              <w:jc w:val="center"/>
            </w:pPr>
            <w:r>
              <w:rPr>
                <w:sz w:val="18"/>
                <w:szCs w:val="18"/>
              </w:rPr>
              <w:t xml:space="preserve">C2 viab+sens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0.657</w:t>
            </w:r>
            <w:r>
              <w:rPr>
                <w:sz w:val="18"/>
                <w:szCs w:val="18"/>
              </w:rPr>
              <w:t xml:space="preserve"> </w:t>
            </w:r>
            <m:oMath>
              <m:r>
                <w:rPr>
                  <w:sz w:val="18"/>
                  <w:szCs w:val="18"/>
                </w:rPr>
                <m:rPr>
                  <m:sty m:val="p"/>
                </m:rPr>
                <m:t>±</m:t>
              </m:r>
            </m:oMath>
            <w:r>
              <w:rPr>
                <w:sz w:val="18"/>
                <w:szCs w:val="18"/>
              </w:rPr>
              <w:t xml:space="preserve"> </w:t>
            </w:r>
            <w:r>
              <w:rPr>
                <w:sz w:val="18"/>
                <w:szCs w:val="18"/>
              </w:rPr>
              <w:t xml:space="preserve">0.003</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0.822</w:t>
            </w:r>
            <w:r>
              <w:rPr>
                <w:sz w:val="18"/>
                <w:szCs w:val="18"/>
              </w:rPr>
              <w:t xml:space="preserve"> </w:t>
            </w:r>
            <m:oMath>
              <m:r>
                <w:rPr>
                  <w:sz w:val="18"/>
                  <w:szCs w:val="18"/>
                </w:rPr>
                <m:rPr>
                  <m:sty m:val="p"/>
                </m:rPr>
                <m:t>±</m:t>
              </m:r>
            </m:oMath>
            <w:r>
              <w:rPr>
                <w:sz w:val="18"/>
                <w:szCs w:val="18"/>
              </w:rPr>
              <w:t xml:space="preserve"> </w:t>
            </w:r>
            <w:r>
              <w:rPr>
                <w:sz w:val="18"/>
                <w:szCs w:val="18"/>
              </w:rPr>
              <w:t xml:space="preserve">0.001</w:t>
            </w:r>
          </w:p>
        </w:tc>
        <w:tc>
          <w:tcPr>
            <w:vAlign w:val="center"/>
          </w:tcPr>
          <w:p>
            <w:pPr>
              <w:pStyle w:val="Compact"/>
              <w:suppressAutoHyphens/>
              <w:jc w:val="center"/>
            </w:pPr>
            <w:r>
              <w:rPr>
                <w:sz w:val="18"/>
                <w:szCs w:val="18"/>
              </w:rPr>
              <w:t xml:space="preserve">0.223</w:t>
            </w:r>
            <w:r>
              <w:rPr>
                <w:sz w:val="18"/>
                <w:szCs w:val="18"/>
              </w:rPr>
              <w:t xml:space="preserve"> </w:t>
            </w:r>
            <m:oMath>
              <m:r>
                <w:rPr>
                  <w:sz w:val="18"/>
                  <w:szCs w:val="18"/>
                </w:rPr>
                <m:rPr>
                  <m:sty m:val="p"/>
                </m:rPr>
                <m:t>±</m:t>
              </m:r>
            </m:oMath>
            <w:r>
              <w:rPr>
                <w:sz w:val="18"/>
                <w:szCs w:val="18"/>
              </w:rPr>
              <w:t xml:space="preserve"> </w:t>
            </w:r>
            <w:r>
              <w:rPr>
                <w:sz w:val="18"/>
                <w:szCs w:val="18"/>
              </w:rPr>
              <w:t xml:space="preserve">0.009</w:t>
            </w:r>
          </w:p>
        </w:tc>
        <w:tc>
          <w:tcPr>
            <w:vAlign w:val="center"/>
          </w:tcPr>
          <w:p>
            <w:pPr>
              <w:pStyle w:val="Compact"/>
              <w:suppressAutoHyphens/>
              <w:jc w:val="center"/>
            </w:pPr>
            <w:r>
              <w:rPr>
                <w:sz w:val="18"/>
                <w:szCs w:val="18"/>
              </w:rPr>
              <w:t xml:space="preserve">815</w:t>
            </w:r>
            <w:r>
              <w:rPr>
                <w:sz w:val="18"/>
                <w:szCs w:val="18"/>
              </w:rPr>
              <w:t xml:space="preserve"> </w:t>
            </w:r>
            <m:oMath>
              <m:r>
                <w:rPr>
                  <w:sz w:val="18"/>
                  <w:szCs w:val="18"/>
                </w:rPr>
                <m:rPr>
                  <m:sty m:val="p"/>
                </m:rPr>
                <m:t>±</m:t>
              </m:r>
            </m:oMath>
            <w:r>
              <w:rPr>
                <w:sz w:val="18"/>
                <w:szCs w:val="18"/>
              </w:rPr>
              <w:t xml:space="preserve"> </w:t>
            </w:r>
            <w:r>
              <w:rPr>
                <w:sz w:val="18"/>
                <w:szCs w:val="18"/>
              </w:rPr>
              <w:t xml:space="preserve">23</w:t>
            </w:r>
          </w:p>
        </w:tc>
      </w:tr>
      <w:tr>
        <w:tc>
          <w:tcPr>
            <w:vAlign w:val="center"/>
          </w:tcPr>
          <w:p>
            <w:pPr>
              <w:pStyle w:val="Compact"/>
              <w:suppressAutoHyphens/>
              <w:jc w:val="center"/>
            </w:pPr>
            <w:r>
              <w:rPr>
                <w:sz w:val="18"/>
                <w:szCs w:val="18"/>
              </w:rPr>
              <w:t xml:space="preserve">C3 viab+sens+SA (3 seeds)</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0.617</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1.000</w:t>
            </w:r>
            <w:r>
              <w:rPr>
                <w:sz w:val="18"/>
                <w:szCs w:val="18"/>
              </w:rPr>
              <w:t xml:space="preserve"> </w:t>
            </w:r>
            <m:oMath>
              <m:r>
                <w:rPr>
                  <w:sz w:val="18"/>
                  <w:szCs w:val="18"/>
                </w:rPr>
                <m:rPr>
                  <m:sty m:val="p"/>
                </m:rPr>
                <m:t>±</m:t>
              </m:r>
            </m:oMath>
            <w:r>
              <w:rPr>
                <w:sz w:val="18"/>
                <w:szCs w:val="18"/>
              </w:rPr>
              <w:t xml:space="preserve"> </w:t>
            </w:r>
            <w:r>
              <w:rPr>
                <w:sz w:val="18"/>
                <w:szCs w:val="18"/>
              </w:rPr>
              <w:t xml:space="preserve">0.000</w:t>
            </w:r>
          </w:p>
        </w:tc>
        <w:tc>
          <w:tcPr>
            <w:vAlign w:val="center"/>
          </w:tcPr>
          <w:p>
            <w:pPr>
              <w:pStyle w:val="Compact"/>
              <w:suppressAutoHyphens/>
              <w:jc w:val="center"/>
            </w:pPr>
            <w:r>
              <w:rPr>
                <w:sz w:val="18"/>
                <w:szCs w:val="18"/>
              </w:rPr>
              <w:t xml:space="preserve">0.818</w:t>
            </w:r>
            <w:r>
              <w:rPr>
                <w:sz w:val="18"/>
                <w:szCs w:val="18"/>
              </w:rPr>
              <w:t xml:space="preserve"> </w:t>
            </w:r>
            <m:oMath>
              <m:r>
                <w:rPr>
                  <w:sz w:val="18"/>
                  <w:szCs w:val="18"/>
                </w:rPr>
                <m:rPr>
                  <m:sty m:val="p"/>
                </m:rPr>
                <m:t>±</m:t>
              </m:r>
            </m:oMath>
            <w:r>
              <w:rPr>
                <w:sz w:val="18"/>
                <w:szCs w:val="18"/>
              </w:rPr>
              <w:t xml:space="preserve"> </w:t>
            </w:r>
            <w:r>
              <w:rPr>
                <w:sz w:val="18"/>
                <w:szCs w:val="18"/>
              </w:rPr>
              <w:t xml:space="preserve">0.002</w:t>
            </w:r>
          </w:p>
        </w:tc>
        <w:tc>
          <w:tcPr>
            <w:vAlign w:val="center"/>
          </w:tcPr>
          <w:p>
            <w:pPr>
              <w:pStyle w:val="Compact"/>
              <w:suppressAutoHyphens/>
              <w:jc w:val="center"/>
            </w:pPr>
            <w:r>
              <w:rPr>
                <w:sz w:val="18"/>
                <w:szCs w:val="18"/>
              </w:rPr>
              <w:t xml:space="preserve">0.210</w:t>
            </w:r>
            <w:r>
              <w:rPr>
                <w:sz w:val="18"/>
                <w:szCs w:val="18"/>
              </w:rPr>
              <w:t xml:space="preserve"> </w:t>
            </w:r>
            <m:oMath>
              <m:r>
                <w:rPr>
                  <w:sz w:val="18"/>
                  <w:szCs w:val="18"/>
                </w:rPr>
                <m:rPr>
                  <m:sty m:val="p"/>
                </m:rPr>
                <m:t>±</m:t>
              </m:r>
            </m:oMath>
            <w:r>
              <w:rPr>
                <w:sz w:val="18"/>
                <w:szCs w:val="18"/>
              </w:rPr>
              <w:t xml:space="preserve"> </w:t>
            </w:r>
            <w:r>
              <w:rPr>
                <w:sz w:val="18"/>
                <w:szCs w:val="18"/>
              </w:rPr>
              <w:t xml:space="preserve">0.005</w:t>
            </w:r>
          </w:p>
        </w:tc>
        <w:tc>
          <w:tcPr>
            <w:vAlign w:val="center"/>
          </w:tcPr>
          <w:p>
            <w:pPr>
              <w:pStyle w:val="Compact"/>
              <w:suppressAutoHyphens/>
              <w:jc w:val="center"/>
            </w:pPr>
            <w:r>
              <w:rPr>
                <w:sz w:val="18"/>
                <w:szCs w:val="18"/>
              </w:rPr>
              <w:t xml:space="preserve">659</w:t>
            </w:r>
            <w:r>
              <w:rPr>
                <w:sz w:val="18"/>
                <w:szCs w:val="18"/>
              </w:rPr>
              <w:t xml:space="preserve"> </w:t>
            </w:r>
            <m:oMath>
              <m:r>
                <w:rPr>
                  <w:sz w:val="18"/>
                  <w:szCs w:val="18"/>
                </w:rPr>
                <m:rPr>
                  <m:sty m:val="p"/>
                </m:rPr>
                <m:t>±</m:t>
              </m:r>
            </m:oMath>
            <w:r>
              <w:rPr>
                <w:sz w:val="18"/>
                <w:szCs w:val="18"/>
              </w:rPr>
              <w:t xml:space="preserve"> </w:t>
            </w:r>
            <w:r>
              <w:rPr>
                <w:sz w:val="18"/>
                <w:szCs w:val="18"/>
              </w:rPr>
              <w:t xml:space="preserve">18</w:t>
            </w:r>
          </w:p>
        </w:tc>
      </w:tr>
    </w:tbl>
    <w:p>
      <w:pPr>
        <w:pStyle w:val="MDPI18keywords"/>
        <w:ind w:left="2608"/>
      </w:pPr>
      <w:r>
        <w:t xml:space="preserve">Five readings of this table (Table S18):</w:t>
      </w:r>
    </w:p>
    <w:p>
      <w:pPr>
        <w:pStyle w:val="Compact"/>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S18 and Table S19 are computed on this basis. This is consistent with the SELFIES-as-decode-vocabulary guarantee but stronger because the LIMO decoder's argmax may produce SELFIES that round-trip to non-canonical or strained chemistry; here it does not.</w:t>
      </w:r>
    </w:p>
    <w:p>
      <w:pPr>
        <w:pStyle w:val="Compact"/>
      </w:pPr>
      <w:r>
        <w:rPr>
          <w:b/>
          <w:bCs/>
        </w:rPr>
        <w:t xml:space="preserve">Novelty vs the labelled master is &gt;99.8 %</w:t>
      </w:r>
      <w:r>
        <w:t xml:space="preserve"> </w:t>
      </w:r>
      <w:r>
        <w:t xml:space="preserve">for all conditions: nearly every generated SMILES is absent from our 65 k labelled corpus. This corroborates the Section 2.3 Tanimoto-stratified novelty result (median NN-Tanimoto 0.32–0.36) and confirms that the diffusion sampler is not memorising training rows.</w:t>
      </w:r>
    </w:p>
    <w:p>
      <w:pPr>
        <w:pStyle w:val="Compact"/>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multi-head conditions are the most focused (viab+sens C1 at 62, viab+sens+hazard C2 at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(Section 4.13), and it scales as expected with guidance strength (rejection rate rises modestly under guidance because guidance pushes into denser energetic-chemistry regions where the SMARTS catalog has more triggers).</w:t>
      </w:r>
    </w:p>
    <w:p>
      <w:pPr>
        <w:pStyle w:val="MDPI18keywords"/>
        <w:ind w:left="2608"/>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[17]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MDPI41tablecaption"/>
        <w:ind w:left="2608"/>
      </w:pPr>
      <w:r>
        <w:rPr>
          <w:b/>
          <w:bCs/>
        </w:rPr>
        <w:t xml:space="preserve">Table S20.</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7):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503"/>
        <w:gridCol w:w="3355"/>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 (n_seeds)</w:t>
            </w:r>
          </w:p>
        </w:tc>
        <w:tc>
          <w:tcPr>
            <w:tcBorders>
              <w:bottom w:val="single" w:sz="8" w:space="0" w:color="auto"/>
            </w:tcBorders>
            <w:vAlign w:val="center"/>
          </w:tcPr>
          <w:p>
            <w:pPr>
              <w:pStyle w:val="Compact"/>
              <w:suppressAutoHyphens/>
              <w:jc w:val="center"/>
            </w:pPr>
            <w:r>
              <w:rPr>
                <w:b/>
                <w:sz w:val="18"/>
                <w:szCs w:val="18"/>
              </w:rPr>
              <w:t xml:space="preserve">FCD vs labelled master (mean ± std)</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 3 seeds, mean)</w:t>
            </w:r>
          </w:p>
        </w:tc>
        <w:tc>
          <w:tcPr>
            <w:vAlign w:val="center"/>
          </w:tcPr>
          <w:p>
            <w:pPr>
              <w:pStyle w:val="Compact"/>
              <w:suppressAutoHyphens/>
              <w:jc w:val="center"/>
            </w:pPr>
            <w:r>
              <w:rPr>
                <w:b/>
                <w:bCs/>
                <w:sz w:val="18"/>
                <w:szCs w:val="18"/>
              </w:rPr>
              <w:t xml:space="preserve">0.52</w:t>
            </w:r>
          </w:p>
        </w:tc>
      </w:tr>
      <w:tr>
        <w:tc>
          <w:tcPr>
            <w:vAlign w:val="center"/>
          </w:tcPr>
          <w:p>
            <w:pPr>
              <w:pStyle w:val="Compact"/>
              <w:suppressAutoHyphens/>
              <w:jc w:val="center"/>
            </w:pPr>
            <w:r>
              <w:rPr>
                <w:sz w:val="18"/>
                <w:szCs w:val="18"/>
              </w:rPr>
              <w:t xml:space="preserve">DGLD C3 hazard-only (3 seeds)</w:t>
            </w:r>
          </w:p>
        </w:tc>
        <w:tc>
          <w:tcPr>
            <w:vAlign w:val="center"/>
          </w:tcPr>
          <w:p>
            <w:pPr>
              <w:pStyle w:val="Compact"/>
              <w:suppressAutoHyphens/>
              <w:jc w:val="center"/>
            </w:pPr>
            <w:r>
              <w:rPr>
                <w:sz w:val="18"/>
                <w:szCs w:val="18"/>
              </w:rPr>
              <w:t xml:space="preserve">24.04</w:t>
            </w:r>
            <w:r>
              <w:rPr>
                <w:sz w:val="18"/>
                <w:szCs w:val="18"/>
              </w:rPr>
              <w:t xml:space="preserve"> </w:t>
            </w:r>
            <m:oMath>
              <m:r>
                <w:rPr>
                  <w:sz w:val="18"/>
                  <w:szCs w:val="18"/>
                </w:rPr>
                <m:rPr>
                  <m:sty m:val="p"/>
                </m:rPr>
                <m:t>±</m:t>
              </m:r>
            </m:oMath>
            <w:r>
              <w:rPr>
                <w:sz w:val="18"/>
                <w:szCs w:val="18"/>
              </w:rPr>
              <w:t xml:space="preserve"> </w:t>
            </w:r>
            <w:r>
              <w:rPr>
                <w:sz w:val="18"/>
                <w:szCs w:val="18"/>
              </w:rPr>
              <w:t xml:space="preserve">0.12</w:t>
            </w:r>
          </w:p>
        </w:tc>
      </w:tr>
      <w:tr>
        <w:tc>
          <w:tcPr>
            <w:vAlign w:val="center"/>
          </w:tcPr>
          <w:p>
            <w:pPr>
              <w:pStyle w:val="Compact"/>
              <w:suppressAutoHyphens/>
              <w:jc w:val="center"/>
            </w:pPr>
            <w:r>
              <w:rPr>
                <w:sz w:val="18"/>
                <w:szCs w:val="18"/>
              </w:rPr>
              <w:t xml:space="preserve">DGLD C0 unguided (6 seeds)</w:t>
            </w:r>
          </w:p>
        </w:tc>
        <w:tc>
          <w:tcPr>
            <w:vAlign w:val="center"/>
          </w:tcPr>
          <w:p>
            <w:pPr>
              <w:pStyle w:val="Compact"/>
              <w:suppressAutoHyphens/>
              <w:jc w:val="center"/>
            </w:pPr>
            <w:r>
              <w:rPr>
                <w:sz w:val="18"/>
                <w:szCs w:val="18"/>
              </w:rPr>
              <w:t xml:space="preserve">24.99</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C2 viab+sens+hazard (3 seeds)</w:t>
            </w:r>
          </w:p>
        </w:tc>
        <w:tc>
          <w:tcPr>
            <w:vAlign w:val="center"/>
          </w:tcPr>
          <w:p>
            <w:pPr>
              <w:pStyle w:val="Compact"/>
              <w:suppressAutoHyphens/>
              <w:jc w:val="center"/>
            </w:pPr>
            <w:r>
              <w:rPr>
                <w:sz w:val="18"/>
                <w:szCs w:val="18"/>
              </w:rPr>
              <w:t xml:space="preserve">25.11</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r>
      <w:tr>
        <w:tc>
          <w:tcPr>
            <w:vAlign w:val="center"/>
          </w:tcPr>
          <w:p>
            <w:pPr>
              <w:pStyle w:val="Compact"/>
              <w:suppressAutoHyphens/>
              <w:jc w:val="center"/>
            </w:pPr>
            <w:r>
              <w:rPr>
                <w:sz w:val="18"/>
                <w:szCs w:val="18"/>
              </w:rPr>
              <w:t xml:space="preserve">DGLD C1 viab (SA-axis, 3 seeds)</w:t>
            </w:r>
          </w:p>
        </w:tc>
        <w:tc>
          <w:tcPr>
            <w:vAlign w:val="center"/>
          </w:tcPr>
          <w:p>
            <w:pPr>
              <w:pStyle w:val="Compact"/>
              <w:suppressAutoHyphens/>
              <w:jc w:val="center"/>
            </w:pPr>
            <w:r>
              <w:rPr>
                <w:sz w:val="18"/>
                <w:szCs w:val="18"/>
              </w:rPr>
              <w:t xml:space="preserve">25.41</w:t>
            </w:r>
            <w:r>
              <w:rPr>
                <w:sz w:val="18"/>
                <w:szCs w:val="18"/>
              </w:rPr>
              <w:t xml:space="preserve"> </w:t>
            </w:r>
            <m:oMath>
              <m:r>
                <w:rPr>
                  <w:sz w:val="18"/>
                  <w:szCs w:val="18"/>
                </w:rPr>
                <m:rPr>
                  <m:sty m:val="p"/>
                </m:rPr>
                <m:t>±</m:t>
              </m:r>
            </m:oMath>
            <w:r>
              <w:rPr>
                <w:sz w:val="18"/>
                <w:szCs w:val="18"/>
              </w:rPr>
              <w:t xml:space="preserve"> </w:t>
            </w:r>
            <w:r>
              <w:rPr>
                <w:sz w:val="18"/>
                <w:szCs w:val="18"/>
              </w:rPr>
              <w:t xml:space="preserve">0.13</w:t>
            </w:r>
          </w:p>
        </w:tc>
      </w:tr>
      <w:tr>
        <w:tc>
          <w:tcPr>
            <w:vAlign w:val="center"/>
          </w:tcPr>
          <w:p>
            <w:pPr>
              <w:pStyle w:val="Compact"/>
              <w:suppressAutoHyphens/>
              <w:jc w:val="center"/>
            </w:pPr>
            <w:r>
              <w:rPr>
                <w:sz w:val="18"/>
                <w:szCs w:val="18"/>
              </w:rPr>
              <w:t xml:space="preserve">DGLD C1 viab+sens (hazard-axis, 3 seeds)</w:t>
            </w:r>
          </w:p>
        </w:tc>
        <w:tc>
          <w:tcPr>
            <w:vAlign w:val="center"/>
          </w:tcPr>
          <w:p>
            <w:pPr>
              <w:pStyle w:val="Compact"/>
              <w:suppressAutoHyphens/>
              <w:jc w:val="center"/>
            </w:pPr>
            <w:r>
              <w:rPr>
                <w:sz w:val="18"/>
                <w:szCs w:val="18"/>
              </w:rPr>
              <w:t xml:space="preserve">25.86</w:t>
            </w:r>
            <w:r>
              <w:rPr>
                <w:sz w:val="18"/>
                <w:szCs w:val="18"/>
              </w:rPr>
              <w:t xml:space="preserve"> </w:t>
            </w:r>
            <m:oMath>
              <m:r>
                <w:rPr>
                  <w:sz w:val="18"/>
                  <w:szCs w:val="18"/>
                </w:rPr>
                <m:rPr>
                  <m:sty m:val="p"/>
                </m:rPr>
                <m:t>±</m:t>
              </m:r>
            </m:oMath>
            <w:r>
              <w:rPr>
                <w:sz w:val="18"/>
                <w:szCs w:val="18"/>
              </w:rPr>
              <w:t xml:space="preserve"> </w:t>
            </w:r>
            <w:r>
              <w:rPr>
                <w:sz w:val="18"/>
                <w:szCs w:val="18"/>
              </w:rPr>
              <w:t xml:space="preserve">0.02</w:t>
            </w:r>
          </w:p>
        </w:tc>
      </w:tr>
      <w:tr>
        <w:tc>
          <w:tcPr>
            <w:vAlign w:val="center"/>
          </w:tcPr>
          <w:p>
            <w:pPr>
              <w:pStyle w:val="Compact"/>
              <w:suppressAutoHyphens/>
              <w:jc w:val="center"/>
            </w:pPr>
            <w:r>
              <w:rPr>
                <w:sz w:val="18"/>
                <w:szCs w:val="18"/>
              </w:rPr>
              <w:t xml:space="preserve">DGLD C2 viab+sens (SA-axis, 3 seeds)</w:t>
            </w:r>
          </w:p>
        </w:tc>
        <w:tc>
          <w:tcPr>
            <w:vAlign w:val="center"/>
          </w:tcPr>
          <w:p>
            <w:pPr>
              <w:pStyle w:val="Compact"/>
              <w:suppressAutoHyphens/>
              <w:jc w:val="center"/>
            </w:pPr>
            <w:r>
              <w:rPr>
                <w:sz w:val="18"/>
                <w:szCs w:val="18"/>
              </w:rPr>
              <w:t xml:space="preserve">25.93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r>
      <w:tr>
        <w:tc>
          <w:tcPr>
            <w:vAlign w:val="center"/>
          </w:tcPr>
          <w:p>
            <w:pPr>
              <w:pStyle w:val="Compact"/>
              <w:suppressAutoHyphens/>
              <w:jc w:val="center"/>
            </w:pPr>
            <w:r>
              <w:rPr>
                <w:b/>
                <w:bCs/>
                <w:sz w:val="18"/>
                <w:szCs w:val="18"/>
              </w:rPr>
              <w:t xml:space="preserve">DGLD C3 viab+sens+SA (SA-axis, 3 seeds)</w:t>
            </w:r>
          </w:p>
        </w:tc>
        <w:tc>
          <w:tcPr>
            <w:vAlign w:val="center"/>
          </w:tcPr>
          <w:p>
            <w:pPr>
              <w:pStyle w:val="Compact"/>
              <w:suppressAutoHyphens/>
              <w:jc w:val="center"/>
            </w:pPr>
            <w:r>
              <w:rPr>
                <w:b/>
                <w:bCs/>
                <w:sz w:val="18"/>
                <w:szCs w:val="18"/>
              </w:rPr>
              <w:t xml:space="preserve">26.47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0.06</w:t>
            </w:r>
          </w:p>
        </w:tc>
      </w:tr>
    </w:tbl>
    <w:p>
      <w:pPr>
        <w:pStyle w:val="MDPI18keywords"/>
        <w:ind w:left="2608"/>
      </w:pPr>
      <w:r>
        <w:t xml:space="preserve">The result is methodologically informative and self-consistent with the Supplementary Section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(Supplementary Section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Supplementary Section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Supplementary Section F.4 composite.</w:t>
      </w:r>
    </w:p>
    <w:p>
      <w:pPr>
        <w:pStyle w:val="MDPI23heading3"/>
        <w:ind w:left="2608"/>
      </w:pPr>
      <w:r>
        <w:t xml:space="preserve">D.12 Hazard-head post-hoc filtering</w:t>
      </w:r>
    </w:p>
    <w:p>
      <w:pPr>
        <w:pStyle w:val="MDPI18keywords"/>
        <w:ind w:left="2608"/>
      </w:pPr>
      <w:r>
        <w:t xml:space="preserve">Applying Section 4.10 hazard-head-as-rerank-weight to the merged top-100, scored against the chemist-curated SMARTS catalog, gives the following alignment:</w:t>
      </w:r>
    </w:p>
    <w:p>
      <w:pPr>
        <w:pStyle w:val="MDPI41tablecaption"/>
        <w:ind w:left="2608"/>
      </w:pPr>
      <w:r>
        <w:rPr>
          <w:b/>
          <w:bCs/>
        </w:rPr>
        <w:t xml:space="preserve">Table S21.</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100"/>
        <w:gridCol w:w="2758"/>
      </w:tblGrid>
      <w:tr>
        <w:trPr>
          <w:tblHeader w:val="on"/>
        </w:trPr>
        <w:tc>
          <w:tcPr>
            <w:tcBorders>
              <w:bottom w:val="single" w:sz="8" w:space="0" w:color="auto"/>
            </w:tcBorders>
            <w:vAlign w:val="center"/>
          </w:tcPr>
          <w:p>
            <w:pPr>
              <w:pStyle w:val="Compact"/>
              <w:suppressAutoHyphens/>
              <w:jc w:val="center"/>
            </w:pPr>
            <w:r>
              <w:rPr>
                <w:b/>
                <w:sz w:val="18"/>
                <w:szCs w:val="18"/>
              </w:rPr>
              <w:t xml:space="preserve">Test</w:t>
            </w:r>
          </w:p>
        </w:tc>
        <w:tc>
          <w:tcPr>
            <w:tcBorders>
              <w:bottom w:val="single" w:sz="8" w:space="0" w:color="auto"/>
            </w:tcBorders>
            <w:vAlign w:val="center"/>
          </w:tcPr>
          <w:p>
            <w:pPr>
              <w:pStyle w:val="Compact"/>
              <w:suppressAutoHyphens/>
              <w:jc w:val="center"/>
            </w:pPr>
            <w:r>
              <w:rPr>
                <w:b/>
                <w:sz w:val="18"/>
                <w:szCs w:val="18"/>
              </w:rPr>
              <w:t xml:space="preserve">Count</w:t>
            </w:r>
          </w:p>
        </w:tc>
      </w:tr>
      <w:tr>
        <w:tc>
          <w:tcPr>
            <w:vAlign w:val="center"/>
          </w:tcPr>
          <w:p>
            <w:pPr>
              <w:pStyle w:val="Compact"/>
              <w:suppressAutoHyphens/>
              <w:jc w:val="center"/>
            </w:pPr>
            <w:r>
              <w:rPr>
                <w:sz w:val="18"/>
                <w:szCs w:val="18"/>
              </w:rPr>
              <w:t xml:space="preserve">energetic-SMARTS gate reject</w:t>
            </w:r>
          </w:p>
        </w:tc>
        <w:tc>
          <w:tcPr>
            <w:vAlign w:val="center"/>
          </w:tcPr>
          <w:p>
            <w:pPr>
              <w:pStyle w:val="Compact"/>
              <w:suppressAutoHyphens/>
              <w:jc w:val="center"/>
            </w:pPr>
            <w:r>
              <w:rPr>
                <w:sz w:val="18"/>
                <w:szCs w:val="18"/>
              </w:rPr>
              <w:t xml:space="preserve">23 / 100</w:t>
            </w:r>
          </w:p>
        </w:tc>
      </w:tr>
      <w:tr>
        <w:tc>
          <w:tcPr>
            <w:vAlign w:val="center"/>
          </w:tcPr>
          <w:p>
            <w:pPr>
              <w:pStyle w:val="Compact"/>
              <w:suppressAutoHyphens/>
              <w:jc w:val="center"/>
            </w:pPr>
            <w:r>
              <w:rPr>
                <w:sz w:val="18"/>
                <w:szCs w:val="18"/>
              </w:rPr>
              <w:t xml:space="preserve">hazard head P &gt; 0.5</w:t>
            </w:r>
          </w:p>
        </w:tc>
        <w:tc>
          <w:tcPr>
            <w:vAlign w:val="center"/>
          </w:tcPr>
          <w:p>
            <w:pPr>
              <w:pStyle w:val="Compact"/>
              <w:suppressAutoHyphens/>
              <w:jc w:val="center"/>
            </w:pPr>
            <w:r>
              <w:rPr>
                <w:sz w:val="18"/>
                <w:szCs w:val="18"/>
              </w:rPr>
              <w:t xml:space="preserve">89 / 100</w:t>
            </w:r>
          </w:p>
        </w:tc>
      </w:tr>
      <w:tr>
        <w:tc>
          <w:tcPr>
            <w:vAlign w:val="center"/>
          </w:tcPr>
          <w:p>
            <w:pPr>
              <w:pStyle w:val="Compact"/>
              <w:suppressAutoHyphens/>
              <w:jc w:val="center"/>
            </w:pPr>
            <w:r>
              <w:rPr>
                <w:sz w:val="18"/>
                <w:szCs w:val="18"/>
              </w:rPr>
              <w:t xml:space="preserve">both reject (SMARTS ∩ hazard)</w:t>
            </w:r>
          </w:p>
        </w:tc>
        <w:tc>
          <w:tcPr>
            <w:vAlign w:val="center"/>
          </w:tcPr>
          <w:p>
            <w:pPr>
              <w:pStyle w:val="Compact"/>
              <w:suppressAutoHyphens/>
              <w:jc w:val="center"/>
            </w:pPr>
            <w:r>
              <w:rPr>
                <w:b/>
                <w:bCs/>
                <w:sz w:val="18"/>
                <w:szCs w:val="18"/>
              </w:rPr>
              <w:t xml:space="preserve">23 / 23</w:t>
            </w:r>
            <w:r>
              <w:rPr>
                <w:sz w:val="18"/>
                <w:szCs w:val="18"/>
              </w:rPr>
              <w:t xml:space="preserve"> </w:t>
            </w:r>
            <w:r>
              <w:rPr>
                <w:sz w:val="18"/>
                <w:szCs w:val="18"/>
              </w:rPr>
              <w:t xml:space="preserve">(perfect recall)</w:t>
            </w:r>
          </w:p>
        </w:tc>
      </w:tr>
      <w:tr>
        <w:tc>
          <w:tcPr>
            <w:vAlign w:val="center"/>
          </w:tcPr>
          <w:p>
            <w:pPr>
              <w:pStyle w:val="Compact"/>
              <w:suppressAutoHyphens/>
              <w:jc w:val="center"/>
            </w:pPr>
            <w:r>
              <w:rPr>
                <w:sz w:val="18"/>
                <w:szCs w:val="18"/>
              </w:rPr>
              <w:t xml:space="preserve">hazard-only flag (SMARTS missed but head flagged)</w:t>
            </w:r>
          </w:p>
        </w:tc>
        <w:tc>
          <w:tcPr>
            <w:vAlign w:val="center"/>
          </w:tcPr>
          <w:p>
            <w:pPr>
              <w:pStyle w:val="Compact"/>
              <w:suppressAutoHyphens/>
              <w:jc w:val="center"/>
            </w:pPr>
            <w:r>
              <w:rPr>
                <w:sz w:val="18"/>
                <w:szCs w:val="18"/>
              </w:rPr>
              <w:t xml:space="preserve">66 / 100</w:t>
            </w:r>
          </w:p>
        </w:tc>
      </w:tr>
      <w:tr>
        <w:tc>
          <w:tcPr>
            <w:vAlign w:val="center"/>
          </w:tcPr>
          <w:p>
            <w:pPr>
              <w:pStyle w:val="Compact"/>
              <w:suppressAutoHyphens/>
              <w:jc w:val="center"/>
            </w:pPr>
            <w:r>
              <w:rPr>
                <w:sz w:val="18"/>
                <w:szCs w:val="18"/>
              </w:rPr>
              <w:t xml:space="preserve">both pass (SMARTS-ok ∩ hazard</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11 / 100</w:t>
            </w:r>
          </w:p>
        </w:tc>
      </w:tr>
    </w:tbl>
    <w:p>
      <w:pPr>
        <w:pStyle w:val="MDPI18keywords"/>
        <w:ind w:left="2608"/>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we quantify generalisation separately by 5-fold cross-validation across all 196 hazard-dataset rows, which gives</w:t>
      </w:r>
      <w:r>
        <w:t xml:space="preserve"> </w:t>
      </w:r>
      <w:r>
        <w:rPr>
          <w:b/>
          <w:bCs/>
        </w:rPr>
        <w:t xml:space="preserve">mean held-out AUROC = 0.91 ± 0.05</w:t>
      </w:r>
      <w:r>
        <w:t xml:space="preserve">, so the head discriminates hazardous from safe latent-space chemistry on unseen rows.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MDPI18keywords"/>
        <w:ind w:left="2608"/>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p>
      <w:pPr>
        <w:pStyle w:val="MDPI23heading3"/>
        <w:ind w:left="2608"/>
      </w:pPr>
      <w:r>
        <w:t xml:space="preserve">D.13 E2 filter-scope note</w:t>
      </w:r>
    </w:p>
    <w:p>
      <w:pPr>
        <w:pStyle w:val="MDPI18keywords"/>
        <w:ind w:left="2608"/>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Section 4.13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 s</w:t>
      </w:r>
      <w:r>
        <w:rPr>
          <w:vertAlign w:val="superscript"/>
        </w:rPr>
        <w:t xml:space="preserve">−1</w:t>
      </w:r>
      <w:r>
        <w:t xml:space="preserve">, flagged in Table 6) is an upper-bound estimate only.</w:t>
      </w:r>
    </w:p>
    <w:p>
      <w:pPr>
        <w:pStyle w:val="MDPI23heading3"/>
        <w:ind w:left="2608"/>
      </w:pPr>
      <w:r>
        <w:t xml:space="preserve">D.14 AiZynthFinder route detail for L1</w:t>
      </w:r>
    </w:p>
    <w:p>
      <w:pPr>
        <w:pStyle w:val="MDPI18keywords"/>
        <w:ind w:left="2608"/>
      </w:pPr>
      <w:r>
        <w:t xml:space="preserve">This appendix gives the full disconnection narrative for the Section 2.4 AiZynthFinder retrosynthesis audit on L1 (3,4,5-trinitro-1,2-isoxazole), the template-coverage discussion for L4, L5, and the nine extension leads, and the drug-domain template-bias argument. The headline is reported in Section 2.4 (1/12 USPTO-template hit rate; L1 reachable in 4 steps with state score 0.50; nine-lead extension reproduces the population finding).</w:t>
      </w:r>
    </w:p>
    <w:p>
      <w:pPr>
        <w:pStyle w:val="MDPI18keywords"/>
        <w:ind w:left="2608"/>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MDPI18keywords"/>
        <w:ind w:left="2608"/>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MDPI18keywords"/>
        <w:ind w:left="2608"/>
      </w:pPr>
      <w:r>
        <w:rPr>
          <w:b/>
          <w:bCs/>
        </w:rPr>
        <w:t xml:space="preserve">Template coverage for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result is stable to search budget: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reflects a scope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MDPI18keywords"/>
        <w:ind w:left="2608"/>
      </w:pPr>
      <w:r>
        <w:t xml:space="preserve">To test whether the L4/L5 template gap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p>
      <w:pPr>
        <w:pStyle w:val="MDPI22heading2"/>
        <w:ind w:left="2608"/>
      </w:pPr>
      <w:r>
        <w:t xml:space="preserve">E. Baseline-method example outputs</w:t>
      </w:r>
    </w:p>
    <w:p>
      <w:pPr>
        <w:pStyle w:val="MDPI18keywords"/>
        <w:ind w:left="2608"/>
      </w:pPr>
      <w:r>
        <w:t xml:space="preserve">Tables S22 and S23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MDPI41tablecaption"/>
        <w:ind w:left="2608"/>
      </w:pPr>
      <w:r>
        <w:rPr>
          <w:b/>
          <w:bCs/>
        </w:rPr>
        <w:t xml:space="preserve">Table S22.</w:t>
      </w:r>
      <w:r>
        <w:t xml:space="preserve"> </w:t>
      </w:r>
      <w:r>
        <w:t xml:space="preserve">Ten most-novel CHNO-neutral candidates from the MolMIM 70 M pool. Columns: SMILES; molecular formula; exact molecular weight; novelty (1 minus max-Tanimoto to labelled master).</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31"/>
        <w:gridCol w:w="1057"/>
        <w:gridCol w:w="586"/>
        <w:gridCol w:w="684"/>
      </w:tblGrid>
      <w:tr>
        <w:trPr>
          <w:tblHeader w:val="on"/>
        </w:trPr>
        <w:tc>
          <w:tcPr>
            <w:tcBorders>
              <w:bottom w:val="single" w:sz="8" w:space="0" w:color="auto"/>
            </w:tcBorders>
            <w:vAlign w:val="center"/>
          </w:tcPr>
          <w:p>
            <w:pPr>
              <w:pStyle w:val="Compact"/>
              <w:suppressAutoHyphens/>
              <w:jc w:val="center"/>
            </w:pPr>
            <w:r>
              <w:rPr>
                <w:b/>
                <w:sz w:val="15"/>
                <w:szCs w:val="15"/>
              </w:rPr>
              <w:t xml:space="preserve">SMILES</w:t>
            </w:r>
          </w:p>
        </w:tc>
        <w:tc>
          <w:tcPr>
            <w:tcBorders>
              <w:bottom w:val="single" w:sz="8" w:space="0" w:color="auto"/>
            </w:tcBorders>
            <w:vAlign w:val="center"/>
          </w:tcPr>
          <w:p>
            <w:pPr>
              <w:pStyle w:val="Compact"/>
              <w:suppressAutoHyphens/>
              <w:jc w:val="center"/>
            </w:pPr>
            <w:r>
              <w:rPr>
                <w:b/>
                <w:sz w:val="15"/>
                <w:szCs w:val="15"/>
              </w:rPr>
              <w:t xml:space="preserve">Formula</w:t>
            </w:r>
          </w:p>
        </w:tc>
        <w:tc>
          <w:tcPr>
            <w:tcBorders>
              <w:bottom w:val="single" w:sz="8" w:space="0" w:color="auto"/>
            </w:tcBorders>
            <w:vAlign w:val="center"/>
          </w:tcPr>
          <w:p>
            <w:pPr>
              <w:pStyle w:val="Compact"/>
              <w:suppressAutoHyphens/>
              <w:jc w:val="center"/>
            </w:pPr>
            <w:r>
              <w:rPr>
                <w:b/>
                <w:sz w:val="15"/>
                <w:szCs w:val="15"/>
              </w:rPr>
              <w:t xml:space="preserve">MW</w:t>
            </w:r>
          </w:p>
        </w:tc>
        <w:tc>
          <w:tcPr>
            <w:tcBorders>
              <w:bottom w:val="single" w:sz="8" w:space="0" w:color="auto"/>
            </w:tcBorders>
            <w:vAlign w:val="center"/>
          </w:tcPr>
          <w:p>
            <w:pPr>
              <w:pStyle w:val="Compact"/>
              <w:suppressAutoHyphens/>
              <w:jc w:val="center"/>
            </w:pPr>
            <w:r>
              <w:rPr>
                <w:b/>
                <w:sz w:val="15"/>
                <w:szCs w:val="15"/>
              </w:rPr>
              <w:t xml:space="preserve">Novelty</w:t>
            </w:r>
          </w:p>
        </w:tc>
      </w:tr>
      <w:tr>
        <w:tc>
          <w:tcPr>
            <w:vAlign w:val="center"/>
          </w:tcPr>
          <w:p>
            <w:pPr>
              <w:pStyle w:val="Compact"/>
              <w:suppressAutoHyphens/>
              <w:jc w:val="center"/>
            </w:pPr>
            <w:r>
              <w:rPr>
                <w:sz w:val="15"/>
                <w:szCs w:val="15"/>
              </w:rPr>
              <w:t xml:space="preserve">CO[C@@H]1CCN(CC23CCC(N)(CC2)C3)C[C@@H]1C</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28</w:t>
            </w:r>
            <w:r>
              <w:rPr>
                <w:sz w:val="15"/>
                <w:szCs w:val="15"/>
              </w:rPr>
              <w:t xml:space="preserve">N</w:t>
            </w:r>
            <w:r>
              <w:rPr>
                <w:vertAlign w:val="subscript"/>
                <w:sz w:val="15"/>
                <w:szCs w:val="15"/>
              </w:rPr>
              <w:t xml:space="preserve">2</w:t>
            </w:r>
            <w:r>
              <w:rPr>
                <w:sz w:val="15"/>
                <w:szCs w:val="15"/>
              </w:rPr>
              <w:t xml:space="preserve">O</w:t>
            </w:r>
          </w:p>
        </w:tc>
        <w:tc>
          <w:tcPr>
            <w:vAlign w:val="center"/>
          </w:tcPr>
          <w:p>
            <w:pPr>
              <w:pStyle w:val="Compact"/>
              <w:suppressAutoHyphens/>
              <w:jc w:val="center"/>
            </w:pPr>
            <w:r>
              <w:rPr>
                <w:sz w:val="15"/>
                <w:szCs w:val="15"/>
              </w:rPr>
              <w:t xml:space="preserve">252.22</w:t>
            </w:r>
          </w:p>
        </w:tc>
        <w:tc>
          <w:tcPr>
            <w:vAlign w:val="center"/>
          </w:tcPr>
          <w:p>
            <w:pPr>
              <w:pStyle w:val="Compact"/>
              <w:suppressAutoHyphens/>
              <w:jc w:val="center"/>
            </w:pPr>
            <w:r>
              <w:rPr>
                <w:sz w:val="15"/>
                <w:szCs w:val="15"/>
              </w:rPr>
              <w:t xml:space="preserve">0.823</w:t>
            </w:r>
          </w:p>
        </w:tc>
      </w:tr>
      <w:tr>
        <w:tc>
          <w:tcPr>
            <w:vAlign w:val="center"/>
          </w:tcPr>
          <w:p>
            <w:pPr>
              <w:pStyle w:val="Compact"/>
              <w:suppressAutoHyphens/>
              <w:jc w:val="center"/>
            </w:pPr>
            <w:r>
              <w:rPr>
                <w:sz w:val="15"/>
                <w:szCs w:val="15"/>
              </w:rPr>
              <w:t xml:space="preserve">N=c1cc[nH]cc1-c1nc(N)nc(N2C[C@H]3CN=C(N4CCCC4)[C@H]3C2)n1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23</w:t>
            </w:r>
            <w:r>
              <w:rPr>
                <w:sz w:val="15"/>
                <w:szCs w:val="15"/>
              </w:rPr>
              <w:t xml:space="preserve">N</w:t>
            </w:r>
            <w:r>
              <w:rPr>
                <w:vertAlign w:val="subscript"/>
                <w:sz w:val="15"/>
                <w:szCs w:val="15"/>
              </w:rPr>
              <w:t xml:space="preserve">9</w:t>
            </w:r>
          </w:p>
        </w:tc>
        <w:tc>
          <w:tcPr>
            <w:vAlign w:val="center"/>
          </w:tcPr>
          <w:p>
            <w:pPr>
              <w:pStyle w:val="Compact"/>
              <w:suppressAutoHyphens/>
              <w:jc w:val="center"/>
            </w:pPr>
            <w:r>
              <w:rPr>
                <w:sz w:val="15"/>
                <w:szCs w:val="15"/>
              </w:rPr>
              <w:t xml:space="preserve">365.21</w:t>
            </w:r>
          </w:p>
        </w:tc>
        <w:tc>
          <w:tcPr>
            <w:vAlign w:val="center"/>
          </w:tcPr>
          <w:p>
            <w:pPr>
              <w:pStyle w:val="Compact"/>
              <w:suppressAutoHyphens/>
              <w:jc w:val="center"/>
            </w:pPr>
            <w:r>
              <w:rPr>
                <w:sz w:val="15"/>
                <w:szCs w:val="15"/>
              </w:rPr>
              <w:t xml:space="preserve">0.818</w:t>
            </w:r>
          </w:p>
        </w:tc>
      </w:tr>
      <w:tr>
        <w:tc>
          <w:tcPr>
            <w:vAlign w:val="center"/>
          </w:tcPr>
          <w:p>
            <w:pPr>
              <w:pStyle w:val="Compact"/>
              <w:suppressAutoHyphens/>
              <w:jc w:val="center"/>
            </w:pPr>
            <w:r>
              <w:rPr>
                <w:sz w:val="15"/>
                <w:szCs w:val="15"/>
              </w:rPr>
              <w:t xml:space="preserve">CC(CN1C[C@H](CO)C2(CCC2)C1)=C1CCC1</w:t>
            </w:r>
          </w:p>
        </w:tc>
        <w:tc>
          <w:tcPr>
            <w:vAlign w:val="center"/>
          </w:tcPr>
          <w:p>
            <w:pPr>
              <w:pStyle w:val="Compact"/>
              <w:suppressAutoHyphens/>
              <w:jc w:val="center"/>
            </w:pPr>
            <w:r>
              <w:rPr>
                <w:sz w:val="15"/>
                <w:szCs w:val="15"/>
              </w:rPr>
              <w:t xml:space="preserve">C</w:t>
            </w:r>
            <w:r>
              <w:rPr>
                <w:vertAlign w:val="subscript"/>
                <w:sz w:val="15"/>
                <w:szCs w:val="15"/>
              </w:rPr>
              <w:t xml:space="preserve">15</w:t>
            </w:r>
            <w:r>
              <w:rPr>
                <w:sz w:val="15"/>
                <w:szCs w:val="15"/>
              </w:rPr>
              <w:t xml:space="preserve">H</w:t>
            </w:r>
            <w:r>
              <w:rPr>
                <w:vertAlign w:val="subscript"/>
                <w:sz w:val="15"/>
                <w:szCs w:val="15"/>
              </w:rPr>
              <w:t xml:space="preserve">25</w:t>
            </w:r>
            <w:r>
              <w:rPr>
                <w:sz w:val="15"/>
                <w:szCs w:val="15"/>
              </w:rPr>
              <w:t xml:space="preserve">NO</w:t>
            </w:r>
          </w:p>
        </w:tc>
        <w:tc>
          <w:tcPr>
            <w:vAlign w:val="center"/>
          </w:tcPr>
          <w:p>
            <w:pPr>
              <w:pStyle w:val="Compact"/>
              <w:suppressAutoHyphens/>
              <w:jc w:val="center"/>
            </w:pPr>
            <w:r>
              <w:rPr>
                <w:sz w:val="15"/>
                <w:szCs w:val="15"/>
              </w:rPr>
              <w:t xml:space="preserve">235.19</w:t>
            </w:r>
          </w:p>
        </w:tc>
        <w:tc>
          <w:tcPr>
            <w:vAlign w:val="center"/>
          </w:tcPr>
          <w:p>
            <w:pPr>
              <w:pStyle w:val="Compact"/>
              <w:suppressAutoHyphens/>
              <w:jc w:val="center"/>
            </w:pPr>
            <w:r>
              <w:rPr>
                <w:sz w:val="15"/>
                <w:szCs w:val="15"/>
              </w:rPr>
              <w:t xml:space="preserve">0.810</w:t>
            </w:r>
          </w:p>
        </w:tc>
      </w:tr>
      <w:tr>
        <w:tc>
          <w:tcPr>
            <w:vAlign w:val="center"/>
          </w:tcPr>
          <w:p>
            <w:pPr>
              <w:pStyle w:val="Compact"/>
              <w:suppressAutoHyphens/>
              <w:jc w:val="center"/>
            </w:pPr>
            <w:r>
              <w:rPr>
                <w:sz w:val="15"/>
                <w:szCs w:val="15"/>
              </w:rPr>
              <w:t xml:space="preserve">C[C@H]1OCCC2=Nc3[nH]c4c(c3CCC[C@@H]21)[C@](C)(O)C4</w:t>
            </w:r>
          </w:p>
        </w:tc>
        <w:tc>
          <w:tcPr>
            <w:vAlign w:val="center"/>
          </w:tcPr>
          <w:p>
            <w:pPr>
              <w:pStyle w:val="Compact"/>
              <w:suppressAutoHyphens/>
              <w:jc w:val="center"/>
            </w:pPr>
            <w:r>
              <w:rPr>
                <w:sz w:val="15"/>
                <w:szCs w:val="15"/>
              </w:rPr>
              <w:t xml:space="preserve">C</w:t>
            </w:r>
            <w:r>
              <w:rPr>
                <w:vertAlign w:val="subscript"/>
                <w:sz w:val="15"/>
                <w:szCs w:val="15"/>
              </w:rPr>
              <w:t xml:space="preserve">16</w:t>
            </w:r>
            <w:r>
              <w:rPr>
                <w:sz w:val="15"/>
                <w:szCs w:val="15"/>
              </w:rPr>
              <w:t xml:space="preserve">H</w:t>
            </w:r>
            <w:r>
              <w:rPr>
                <w:vertAlign w:val="subscript"/>
                <w:sz w:val="15"/>
                <w:szCs w:val="15"/>
              </w:rPr>
              <w:t xml:space="preserve">22</w:t>
            </w:r>
            <w:r>
              <w:rPr>
                <w:sz w:val="15"/>
                <w:szCs w:val="15"/>
              </w:rPr>
              <w:t xml:space="preserve">N</w:t>
            </w:r>
            <w:r>
              <w:rPr>
                <w:vertAlign w:val="subscript"/>
                <w:sz w:val="15"/>
                <w:szCs w:val="15"/>
              </w:rPr>
              <w:t xml:space="preserve">2</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274.17</w:t>
            </w:r>
          </w:p>
        </w:tc>
        <w:tc>
          <w:tcPr>
            <w:vAlign w:val="center"/>
          </w:tcPr>
          <w:p>
            <w:pPr>
              <w:pStyle w:val="Compact"/>
              <w:suppressAutoHyphens/>
              <w:jc w:val="center"/>
            </w:pPr>
            <w:r>
              <w:rPr>
                <w:sz w:val="15"/>
                <w:szCs w:val="15"/>
              </w:rPr>
              <w:t xml:space="preserve">0.809</w:t>
            </w:r>
          </w:p>
        </w:tc>
      </w:tr>
      <w:tr>
        <w:tc>
          <w:tcPr>
            <w:vAlign w:val="center"/>
          </w:tcPr>
          <w:p>
            <w:pPr>
              <w:pStyle w:val="Compact"/>
              <w:suppressAutoHyphens/>
              <w:jc w:val="center"/>
            </w:pPr>
            <w:r>
              <w:rPr>
                <w:sz w:val="15"/>
                <w:szCs w:val="15"/>
              </w:rPr>
              <w:t xml:space="preserve">CC(C)(C)CN1CC(C)(C)C[C@]2(C)C(=O)N3C(=N1)C(=O)NC[C@]3(C)[C@@H]2N</w:t>
            </w:r>
          </w:p>
        </w:tc>
        <w:tc>
          <w:tcPr>
            <w:vAlign w:val="center"/>
          </w:tcPr>
          <w:p>
            <w:pPr>
              <w:pStyle w:val="Compact"/>
              <w:suppressAutoHyphens/>
              <w:jc w:val="center"/>
            </w:pPr>
            <w:r>
              <w:rPr>
                <w:sz w:val="15"/>
                <w:szCs w:val="15"/>
              </w:rPr>
              <w:t xml:space="preserve">C</w:t>
            </w:r>
            <w:r>
              <w:rPr>
                <w:vertAlign w:val="subscript"/>
                <w:sz w:val="15"/>
                <w:szCs w:val="15"/>
              </w:rPr>
              <w:t xml:space="preserve">19</w:t>
            </w:r>
            <w:r>
              <w:rPr>
                <w:sz w:val="15"/>
                <w:szCs w:val="15"/>
              </w:rPr>
              <w:t xml:space="preserve">H</w:t>
            </w:r>
            <w:r>
              <w:rPr>
                <w:vertAlign w:val="subscript"/>
                <w:sz w:val="15"/>
                <w:szCs w:val="15"/>
              </w:rPr>
              <w:t xml:space="preserve">33</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363.26</w:t>
            </w:r>
          </w:p>
        </w:tc>
        <w:tc>
          <w:tcPr>
            <w:vAlign w:val="center"/>
          </w:tcPr>
          <w:p>
            <w:pPr>
              <w:pStyle w:val="Compact"/>
              <w:suppressAutoHyphens/>
              <w:jc w:val="center"/>
            </w:pPr>
            <w:r>
              <w:rPr>
                <w:sz w:val="15"/>
                <w:szCs w:val="15"/>
              </w:rPr>
              <w:t xml:space="preserve">0.806</w:t>
            </w:r>
          </w:p>
        </w:tc>
      </w:tr>
      <w:tr>
        <w:tc>
          <w:tcPr>
            <w:vAlign w:val="center"/>
          </w:tcPr>
          <w:p>
            <w:pPr>
              <w:pStyle w:val="Compact"/>
              <w:suppressAutoHyphens/>
              <w:jc w:val="center"/>
            </w:pPr>
            <w:r>
              <w:rPr>
                <w:sz w:val="15"/>
                <w:szCs w:val="15"/>
              </w:rPr>
              <w:t xml:space="preserve">CC(C)CN1CCN(c2nnc(-c3cncnc3)n2C[C@]2(C)CCCO2)CC1=O</w:t>
            </w:r>
          </w:p>
        </w:tc>
        <w:tc>
          <w:tcPr>
            <w:vAlign w:val="center"/>
          </w:tcPr>
          <w:p>
            <w:pPr>
              <w:pStyle w:val="Compact"/>
              <w:suppressAutoHyphens/>
              <w:jc w:val="center"/>
            </w:pPr>
            <w:r>
              <w:rPr>
                <w:sz w:val="15"/>
                <w:szCs w:val="15"/>
              </w:rPr>
              <w:t xml:space="preserve">C</w:t>
            </w:r>
            <w:r>
              <w:rPr>
                <w:vertAlign w:val="subscript"/>
                <w:sz w:val="15"/>
                <w:szCs w:val="15"/>
              </w:rPr>
              <w:t xml:space="preserve">20</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7</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399.24</w:t>
            </w:r>
          </w:p>
        </w:tc>
        <w:tc>
          <w:tcPr>
            <w:vAlign w:val="center"/>
          </w:tcPr>
          <w:p>
            <w:pPr>
              <w:pStyle w:val="Compact"/>
              <w:suppressAutoHyphens/>
              <w:jc w:val="center"/>
            </w:pPr>
            <w:r>
              <w:rPr>
                <w:sz w:val="15"/>
                <w:szCs w:val="15"/>
              </w:rPr>
              <w:t xml:space="preserve">0.805</w:t>
            </w:r>
          </w:p>
        </w:tc>
      </w:tr>
      <w:tr>
        <w:tc>
          <w:tcPr>
            <w:vAlign w:val="center"/>
          </w:tcPr>
          <w:p>
            <w:pPr>
              <w:pStyle w:val="Compact"/>
              <w:suppressAutoHyphens/>
              <w:jc w:val="center"/>
            </w:pPr>
            <w:r>
              <w:rPr>
                <w:sz w:val="15"/>
                <w:szCs w:val="15"/>
              </w:rPr>
              <w:t xml:space="preserve">N[C@]1(CC2COCCOC2)CO[C@H](C2CC2)C1</w:t>
            </w:r>
          </w:p>
        </w:tc>
        <w:tc>
          <w:tcPr>
            <w:vAlign w:val="center"/>
          </w:tcPr>
          <w:p>
            <w:pPr>
              <w:pStyle w:val="Compact"/>
              <w:suppressAutoHyphens/>
              <w:jc w:val="center"/>
            </w:pPr>
            <w:r>
              <w:rPr>
                <w:sz w:val="15"/>
                <w:szCs w:val="15"/>
              </w:rPr>
              <w:t xml:space="preserve">C</w:t>
            </w:r>
            <w:r>
              <w:rPr>
                <w:vertAlign w:val="subscript"/>
                <w:sz w:val="15"/>
                <w:szCs w:val="15"/>
              </w:rPr>
              <w:t xml:space="preserve">13</w:t>
            </w:r>
            <w:r>
              <w:rPr>
                <w:sz w:val="15"/>
                <w:szCs w:val="15"/>
              </w:rPr>
              <w:t xml:space="preserve">H</w:t>
            </w:r>
            <w:r>
              <w:rPr>
                <w:vertAlign w:val="subscript"/>
                <w:sz w:val="15"/>
                <w:szCs w:val="15"/>
              </w:rPr>
              <w:t xml:space="preserve">23</w:t>
            </w:r>
            <w:r>
              <w:rPr>
                <w:sz w:val="15"/>
                <w:szCs w:val="15"/>
              </w:rPr>
              <w:t xml:space="preserve">NO</w:t>
            </w:r>
            <w:r>
              <w:rPr>
                <w:vertAlign w:val="subscript"/>
                <w:sz w:val="15"/>
                <w:szCs w:val="15"/>
              </w:rPr>
              <w:t xml:space="preserve">3</w:t>
            </w:r>
          </w:p>
        </w:tc>
        <w:tc>
          <w:tcPr>
            <w:vAlign w:val="center"/>
          </w:tcPr>
          <w:p>
            <w:pPr>
              <w:pStyle w:val="Compact"/>
              <w:suppressAutoHyphens/>
              <w:jc w:val="center"/>
            </w:pPr>
            <w:r>
              <w:rPr>
                <w:sz w:val="15"/>
                <w:szCs w:val="15"/>
              </w:rPr>
              <w:t xml:space="preserve">241.17</w:t>
            </w:r>
          </w:p>
        </w:tc>
        <w:tc>
          <w:tcPr>
            <w:vAlign w:val="center"/>
          </w:tcPr>
          <w:p>
            <w:pPr>
              <w:pStyle w:val="Compact"/>
              <w:suppressAutoHyphens/>
              <w:jc w:val="center"/>
            </w:pPr>
            <w:r>
              <w:rPr>
                <w:sz w:val="15"/>
                <w:szCs w:val="15"/>
              </w:rPr>
              <w:t xml:space="preserve">0.804</w:t>
            </w:r>
          </w:p>
        </w:tc>
      </w:tr>
      <w:tr>
        <w:tc>
          <w:tcPr>
            <w:vAlign w:val="center"/>
          </w:tcPr>
          <w:p>
            <w:pPr>
              <w:pStyle w:val="Compact"/>
              <w:suppressAutoHyphens/>
              <w:jc w:val="center"/>
            </w:pPr>
            <w:r>
              <w:rPr>
                <w:sz w:val="15"/>
                <w:szCs w:val="15"/>
              </w:rPr>
              <w:t xml:space="preserve">Cc1c(C(=O)N(C)C[C@@H]2CCN(C(=O)Cc3cnoc3)C2)ccn1C</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24</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3</w:t>
            </w:r>
          </w:p>
        </w:tc>
        <w:tc>
          <w:tcPr>
            <w:vAlign w:val="center"/>
          </w:tcPr>
          <w:p>
            <w:pPr>
              <w:pStyle w:val="Compact"/>
              <w:suppressAutoHyphens/>
              <w:jc w:val="center"/>
            </w:pPr>
            <w:r>
              <w:rPr>
                <w:sz w:val="15"/>
                <w:szCs w:val="15"/>
              </w:rPr>
              <w:t xml:space="preserve">344.18</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O=C(CCn1cnccc1=O)NC1(CNC[C@H]2CC[C@H]3C[C@H]3C2)CCCC1</w:t>
            </w:r>
          </w:p>
        </w:tc>
        <w:tc>
          <w:tcPr>
            <w:vAlign w:val="center"/>
          </w:tcPr>
          <w:p>
            <w:pPr>
              <w:pStyle w:val="Compact"/>
              <w:suppressAutoHyphens/>
              <w:jc w:val="center"/>
            </w:pPr>
            <w:r>
              <w:rPr>
                <w:sz w:val="15"/>
                <w:szCs w:val="15"/>
              </w:rPr>
              <w:t xml:space="preserve">C</w:t>
            </w:r>
            <w:r>
              <w:rPr>
                <w:vertAlign w:val="subscript"/>
                <w:sz w:val="15"/>
                <w:szCs w:val="15"/>
              </w:rPr>
              <w:t xml:space="preserve">21</w:t>
            </w:r>
            <w:r>
              <w:rPr>
                <w:sz w:val="15"/>
                <w:szCs w:val="15"/>
              </w:rPr>
              <w:t xml:space="preserve">H</w:t>
            </w:r>
            <w:r>
              <w:rPr>
                <w:vertAlign w:val="subscript"/>
                <w:sz w:val="15"/>
                <w:szCs w:val="15"/>
              </w:rPr>
              <w:t xml:space="preserve">32</w:t>
            </w:r>
            <w:r>
              <w:rPr>
                <w:sz w:val="15"/>
                <w:szCs w:val="15"/>
              </w:rPr>
              <w:t xml:space="preserve">N</w:t>
            </w:r>
            <w:r>
              <w:rPr>
                <w:vertAlign w:val="subscript"/>
                <w:sz w:val="15"/>
                <w:szCs w:val="15"/>
              </w:rPr>
              <w:t xml:space="preserve">4</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372.25</w:t>
            </w:r>
          </w:p>
        </w:tc>
        <w:tc>
          <w:tcPr>
            <w:vAlign w:val="center"/>
          </w:tcPr>
          <w:p>
            <w:pPr>
              <w:pStyle w:val="Compact"/>
              <w:suppressAutoHyphens/>
              <w:jc w:val="center"/>
            </w:pPr>
            <w:r>
              <w:rPr>
                <w:sz w:val="15"/>
                <w:szCs w:val="15"/>
              </w:rPr>
              <w:t xml:space="preserve">0.802</w:t>
            </w:r>
          </w:p>
        </w:tc>
      </w:tr>
      <w:tr>
        <w:tc>
          <w:tcPr>
            <w:vAlign w:val="center"/>
          </w:tcPr>
          <w:p>
            <w:pPr>
              <w:pStyle w:val="Compact"/>
              <w:suppressAutoHyphens/>
              <w:jc w:val="center"/>
            </w:pPr>
            <w:r>
              <w:rPr>
                <w:sz w:val="15"/>
                <w:szCs w:val="15"/>
              </w:rPr>
              <w:t xml:space="preserve">CO[C@@H]1CCCCN(c2nnc([C@]3(C)CNC(=O)C3)n2CC2CC2)C1</w:t>
            </w:r>
          </w:p>
        </w:tc>
        <w:tc>
          <w:tcPr>
            <w:vAlign w:val="center"/>
          </w:tcPr>
          <w:p>
            <w:pPr>
              <w:pStyle w:val="Compact"/>
              <w:suppressAutoHyphens/>
              <w:jc w:val="center"/>
            </w:pPr>
            <w:r>
              <w:rPr>
                <w:sz w:val="15"/>
                <w:szCs w:val="15"/>
              </w:rPr>
              <w:t xml:space="preserve">C</w:t>
            </w:r>
            <w:r>
              <w:rPr>
                <w:vertAlign w:val="subscript"/>
                <w:sz w:val="15"/>
                <w:szCs w:val="15"/>
              </w:rPr>
              <w:t xml:space="preserve">18</w:t>
            </w:r>
            <w:r>
              <w:rPr>
                <w:sz w:val="15"/>
                <w:szCs w:val="15"/>
              </w:rPr>
              <w:t xml:space="preserve">H</w:t>
            </w:r>
            <w:r>
              <w:rPr>
                <w:vertAlign w:val="subscript"/>
                <w:sz w:val="15"/>
                <w:szCs w:val="15"/>
              </w:rPr>
              <w:t xml:space="preserve">29</w:t>
            </w:r>
            <w:r>
              <w:rPr>
                <w:sz w:val="15"/>
                <w:szCs w:val="15"/>
              </w:rPr>
              <w:t xml:space="preserve">N</w:t>
            </w:r>
            <w:r>
              <w:rPr>
                <w:vertAlign w:val="subscript"/>
                <w:sz w:val="15"/>
                <w:szCs w:val="15"/>
              </w:rPr>
              <w:t xml:space="preserve">5</w:t>
            </w:r>
            <w:r>
              <w:rPr>
                <w:sz w:val="15"/>
                <w:szCs w:val="15"/>
              </w:rPr>
              <w:t xml:space="preserve">O</w:t>
            </w:r>
            <w:r>
              <w:rPr>
                <w:vertAlign w:val="subscript"/>
                <w:sz w:val="15"/>
                <w:szCs w:val="15"/>
              </w:rPr>
              <w:t xml:space="preserve">2</w:t>
            </w:r>
          </w:p>
        </w:tc>
        <w:tc>
          <w:tcPr>
            <w:vAlign w:val="center"/>
          </w:tcPr>
          <w:p>
            <w:pPr>
              <w:pStyle w:val="Compact"/>
              <w:suppressAutoHyphens/>
              <w:jc w:val="center"/>
            </w:pPr>
            <w:r>
              <w:rPr>
                <w:sz w:val="15"/>
                <w:szCs w:val="15"/>
              </w:rPr>
              <w:t xml:space="preserve">347.23</w:t>
            </w:r>
          </w:p>
        </w:tc>
        <w:tc>
          <w:tcPr>
            <w:vAlign w:val="center"/>
          </w:tcPr>
          <w:p>
            <w:pPr>
              <w:pStyle w:val="Compact"/>
              <w:suppressAutoHyphens/>
              <w:jc w:val="center"/>
            </w:pPr>
            <w:r>
              <w:rPr>
                <w:sz w:val="15"/>
                <w:szCs w:val="15"/>
              </w:rPr>
              <w:t xml:space="preserve">0.802</w:t>
            </w:r>
          </w:p>
        </w:tc>
      </w:tr>
    </w:tbl>
    <w:p>
      <w:pPr>
        <w:pStyle w:val="MDPI18keywords"/>
        <w:ind w:left="2608"/>
      </w:pPr>
    </w:p>
    <w:p>
      <w:pPr>
        <w:pStyle w:val="MDPI41tablecaption"/>
        <w:ind w:left="2608"/>
      </w:pPr>
      <w:r>
        <w:rPr>
          <w:b/>
          <w:bCs/>
        </w:rPr>
        <w:t xml:space="preserve">Table S23.</w:t>
      </w:r>
      <w:r>
        <w:t xml:space="preserve"> </w:t>
      </w:r>
      <w:r>
        <w:t xml:space="preserve">Ten most-novel CHNO-neutral candidates from the SMILES-LSTM pool. Columns as Table S22.</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808"/>
        <w:gridCol w:w="924"/>
        <w:gridCol w:w="520"/>
        <w:gridCol w:w="606"/>
      </w:tblGrid>
      <w:tr>
        <w:trPr>
          <w:tblHeader w:val="on"/>
        </w:trPr>
        <w:tc>
          <w:tcPr>
            <w:tcBorders>
              <w:bottom w:val="single" w:sz="8" w:space="0" w:color="auto"/>
            </w:tcBorders>
            <w:vAlign w:val="center"/>
          </w:tcPr>
          <w:p>
            <w:pPr>
              <w:pStyle w:val="Compact"/>
              <w:suppressAutoHyphens/>
              <w:jc w:val="center"/>
            </w:pPr>
            <w:r>
              <w:rPr>
                <w:b/>
                <w:sz w:val="13"/>
                <w:szCs w:val="13"/>
              </w:rPr>
              <w:t xml:space="preserve">SMILES</w:t>
            </w:r>
          </w:p>
        </w:tc>
        <w:tc>
          <w:tcPr>
            <w:tcBorders>
              <w:bottom w:val="single" w:sz="8" w:space="0" w:color="auto"/>
            </w:tcBorders>
            <w:vAlign w:val="center"/>
          </w:tcPr>
          <w:p>
            <w:pPr>
              <w:pStyle w:val="Compact"/>
              <w:suppressAutoHyphens/>
              <w:jc w:val="center"/>
            </w:pPr>
            <w:r>
              <w:rPr>
                <w:b/>
                <w:sz w:val="13"/>
                <w:szCs w:val="13"/>
              </w:rPr>
              <w:t xml:space="preserve">Formula</w:t>
            </w:r>
          </w:p>
        </w:tc>
        <w:tc>
          <w:tcPr>
            <w:tcBorders>
              <w:bottom w:val="single" w:sz="8" w:space="0" w:color="auto"/>
            </w:tcBorders>
            <w:vAlign w:val="center"/>
          </w:tcPr>
          <w:p>
            <w:pPr>
              <w:pStyle w:val="Compact"/>
              <w:suppressAutoHyphens/>
              <w:jc w:val="center"/>
            </w:pPr>
            <w:r>
              <w:rPr>
                <w:b/>
                <w:sz w:val="13"/>
                <w:szCs w:val="13"/>
              </w:rPr>
              <w:t xml:space="preserve">MW</w:t>
            </w:r>
          </w:p>
        </w:tc>
        <w:tc>
          <w:tcPr>
            <w:tcBorders>
              <w:bottom w:val="single" w:sz="8" w:space="0" w:color="auto"/>
            </w:tcBorders>
            <w:vAlign w:val="center"/>
          </w:tcPr>
          <w:p>
            <w:pPr>
              <w:pStyle w:val="Compact"/>
              <w:suppressAutoHyphens/>
              <w:jc w:val="center"/>
            </w:pPr>
            <w:r>
              <w:rPr>
                <w:b/>
                <w:sz w:val="13"/>
                <w:szCs w:val="13"/>
              </w:rPr>
              <w:t xml:space="preserve">Novelty</w:t>
            </w:r>
          </w:p>
        </w:tc>
      </w:tr>
      <w:tr>
        <w:tc>
          <w:tcPr>
            <w:vAlign w:val="center"/>
          </w:tcPr>
          <w:p>
            <w:pPr>
              <w:pStyle w:val="Compact"/>
              <w:suppressAutoHyphens/>
              <w:jc w:val="center"/>
            </w:pPr>
            <w:r>
              <w:rPr>
                <w:sz w:val="13"/>
                <w:szCs w:val="13"/>
              </w:rPr>
              <w:t xml:space="preserve">O=C(O[C@@H]1C[C@H]2CC[C@H]3O[C@]2(C1)C1=C3CCCC1)C(=O)C1CC1</w:t>
            </w:r>
          </w:p>
        </w:tc>
        <w:tc>
          <w:tcPr>
            <w:vAlign w:val="center"/>
          </w:tcPr>
          <w:p>
            <w:pPr>
              <w:pStyle w:val="Compact"/>
              <w:suppressAutoHyphens/>
              <w:jc w:val="center"/>
            </w:pPr>
            <w:r>
              <w:rPr>
                <w:sz w:val="13"/>
                <w:szCs w:val="13"/>
              </w:rPr>
              <w:t xml:space="preserve">C</w:t>
            </w:r>
            <w:r>
              <w:rPr>
                <w:vertAlign w:val="subscript"/>
                <w:sz w:val="13"/>
                <w:szCs w:val="13"/>
              </w:rPr>
              <w:t xml:space="preserve">19</w:t>
            </w:r>
            <w:r>
              <w:rPr>
                <w:sz w:val="13"/>
                <w:szCs w:val="13"/>
              </w:rPr>
              <w:t xml:space="preserve">H</w:t>
            </w:r>
            <w:r>
              <w:rPr>
                <w:vertAlign w:val="subscript"/>
                <w:sz w:val="13"/>
                <w:szCs w:val="13"/>
              </w:rPr>
              <w:t xml:space="preserve">24</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316.17</w:t>
            </w:r>
          </w:p>
        </w:tc>
        <w:tc>
          <w:tcPr>
            <w:vAlign w:val="center"/>
          </w:tcPr>
          <w:p>
            <w:pPr>
              <w:pStyle w:val="Compact"/>
              <w:suppressAutoHyphens/>
              <w:jc w:val="center"/>
            </w:pPr>
            <w:r>
              <w:rPr>
                <w:sz w:val="13"/>
                <w:szCs w:val="13"/>
              </w:rPr>
              <w:t xml:space="preserve">0.775</w:t>
            </w:r>
          </w:p>
        </w:tc>
      </w:tr>
      <w:tr>
        <w:tc>
          <w:tcPr>
            <w:vAlign w:val="center"/>
          </w:tcPr>
          <w:p>
            <w:pPr>
              <w:pStyle w:val="Compact"/>
              <w:suppressAutoHyphens/>
              <w:jc w:val="center"/>
            </w:pPr>
            <w:r>
              <w:rPr>
                <w:sz w:val="13"/>
                <w:szCs w:val="13"/>
              </w:rPr>
              <w:t xml:space="preserve">CC(=N)OC(=O)OC12OC(OCCO)C1O2</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11</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233.05</w:t>
            </w:r>
          </w:p>
        </w:tc>
        <w:tc>
          <w:tcPr>
            <w:vAlign w:val="center"/>
          </w:tcPr>
          <w:p>
            <w:pPr>
              <w:pStyle w:val="Compact"/>
              <w:suppressAutoHyphens/>
              <w:jc w:val="center"/>
            </w:pPr>
            <w:r>
              <w:rPr>
                <w:sz w:val="13"/>
                <w:szCs w:val="13"/>
              </w:rPr>
              <w:t xml:space="preserve">0.754</w:t>
            </w:r>
          </w:p>
        </w:tc>
      </w:tr>
      <w:tr>
        <w:tc>
          <w:tcPr>
            <w:vAlign w:val="center"/>
          </w:tcPr>
          <w:p>
            <w:pPr>
              <w:pStyle w:val="Compact"/>
              <w:suppressAutoHyphens/>
              <w:jc w:val="center"/>
            </w:pPr>
            <w:r>
              <w:rPr>
                <w:sz w:val="13"/>
                <w:szCs w:val="13"/>
              </w:rPr>
              <w:t xml:space="preserve">CC[C@H](c1cccc2ccccc12)[C@@H](/C=C/C[C@]1(C)C(=O)N2C(=O)N=C(OC)O[C@H]2[C@@H]1C(OC)=C(C)O)COC</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38</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550.27</w:t>
            </w:r>
          </w:p>
        </w:tc>
        <w:tc>
          <w:tcPr>
            <w:vAlign w:val="center"/>
          </w:tcPr>
          <w:p>
            <w:pPr>
              <w:pStyle w:val="Compact"/>
              <w:suppressAutoHyphens/>
              <w:jc w:val="center"/>
            </w:pPr>
            <w:r>
              <w:rPr>
                <w:sz w:val="13"/>
                <w:szCs w:val="13"/>
              </w:rPr>
              <w:t xml:space="preserve">0.750</w:t>
            </w:r>
          </w:p>
        </w:tc>
      </w:tr>
      <w:tr>
        <w:tc>
          <w:tcPr>
            <w:vAlign w:val="center"/>
          </w:tcPr>
          <w:p>
            <w:pPr>
              <w:pStyle w:val="Compact"/>
              <w:suppressAutoHyphens/>
              <w:jc w:val="center"/>
            </w:pPr>
            <w:r>
              <w:rPr>
                <w:sz w:val="13"/>
                <w:szCs w:val="13"/>
              </w:rPr>
              <w:t xml:space="preserve">CCN1N=C2OC(=O)N=CN=C2C(O)=NC1=NO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8</w:t>
            </w:r>
            <w:r>
              <w:rPr>
                <w:sz w:val="13"/>
                <w:szCs w:val="13"/>
              </w:rPr>
              <w:t xml:space="preserve">N</w:t>
            </w:r>
            <w:r>
              <w:rPr>
                <w:vertAlign w:val="subscript"/>
                <w:sz w:val="13"/>
                <w:szCs w:val="13"/>
              </w:rPr>
              <w:t xml:space="preserve">6</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252.06</w:t>
            </w:r>
          </w:p>
        </w:tc>
        <w:tc>
          <w:tcPr>
            <w:vAlign w:val="center"/>
          </w:tcPr>
          <w:p>
            <w:pPr>
              <w:pStyle w:val="Compact"/>
              <w:suppressAutoHyphens/>
              <w:jc w:val="center"/>
            </w:pPr>
            <w:r>
              <w:rPr>
                <w:sz w:val="13"/>
                <w:szCs w:val="13"/>
              </w:rPr>
              <w:t xml:space="preserve">0.746</w:t>
            </w:r>
          </w:p>
        </w:tc>
      </w:tr>
      <w:tr>
        <w:tc>
          <w:tcPr>
            <w:vAlign w:val="center"/>
          </w:tcPr>
          <w:p>
            <w:pPr>
              <w:pStyle w:val="Compact"/>
              <w:suppressAutoHyphens/>
              <w:jc w:val="center"/>
            </w:pPr>
            <w:r>
              <w:rPr>
                <w:sz w:val="13"/>
                <w:szCs w:val="13"/>
              </w:rPr>
              <w:t xml:space="preserve">CC(=O)[C@@H]1[C@@H](O)[C@H](C(C)(C)C)[C@@H]1N1C(=O)C(=O)N(C)C(=O)CN1[N+](=O)[O-]</w:t>
            </w:r>
          </w:p>
        </w:tc>
        <w:tc>
          <w:tcPr>
            <w:vAlign w:val="center"/>
          </w:tcPr>
          <w:p>
            <w:pPr>
              <w:pStyle w:val="Compact"/>
              <w:suppressAutoHyphens/>
              <w:jc w:val="center"/>
            </w:pPr>
            <w:r>
              <w:rPr>
                <w:sz w:val="13"/>
                <w:szCs w:val="13"/>
              </w:rPr>
              <w:t xml:space="preserve">C</w:t>
            </w:r>
            <w:r>
              <w:rPr>
                <w:vertAlign w:val="subscript"/>
                <w:sz w:val="13"/>
                <w:szCs w:val="13"/>
              </w:rPr>
              <w:t xml:space="preserve">15</w:t>
            </w:r>
            <w:r>
              <w:rPr>
                <w:sz w:val="13"/>
                <w:szCs w:val="13"/>
              </w:rPr>
              <w:t xml:space="preserve">H</w:t>
            </w:r>
            <w:r>
              <w:rPr>
                <w:vertAlign w:val="subscript"/>
                <w:sz w:val="13"/>
                <w:szCs w:val="13"/>
              </w:rPr>
              <w:t xml:space="preserve">22</w:t>
            </w:r>
            <w:r>
              <w:rPr>
                <w:sz w:val="13"/>
                <w:szCs w:val="13"/>
              </w:rPr>
              <w:t xml:space="preserve">N</w:t>
            </w:r>
            <w:r>
              <w:rPr>
                <w:vertAlign w:val="subscript"/>
                <w:sz w:val="13"/>
                <w:szCs w:val="13"/>
              </w:rPr>
              <w:t xml:space="preserve">4</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370.15</w:t>
            </w:r>
          </w:p>
        </w:tc>
        <w:tc>
          <w:tcPr>
            <w:vAlign w:val="center"/>
          </w:tcPr>
          <w:p>
            <w:pPr>
              <w:pStyle w:val="Compact"/>
              <w:suppressAutoHyphens/>
              <w:jc w:val="center"/>
            </w:pPr>
            <w:r>
              <w:rPr>
                <w:sz w:val="13"/>
                <w:szCs w:val="13"/>
              </w:rPr>
              <w:t xml:space="preserve">0.743</w:t>
            </w:r>
          </w:p>
        </w:tc>
      </w:tr>
      <w:tr>
        <w:tc>
          <w:tcPr>
            <w:vAlign w:val="center"/>
          </w:tcPr>
          <w:p>
            <w:pPr>
              <w:pStyle w:val="Compact"/>
              <w:suppressAutoHyphens/>
              <w:jc w:val="center"/>
            </w:pPr>
            <w:r>
              <w:rPr>
                <w:sz w:val="13"/>
                <w:szCs w:val="13"/>
              </w:rPr>
              <w:t xml:space="preserve">CC1N=C2OC(=O)OC2OC(Oc2nnno2)COC1C#N</w:t>
            </w:r>
          </w:p>
        </w:tc>
        <w:tc>
          <w:tcPr>
            <w:vAlign w:val="center"/>
          </w:tcPr>
          <w:p>
            <w:pPr>
              <w:pStyle w:val="Compact"/>
              <w:suppressAutoHyphens/>
              <w:jc w:val="center"/>
            </w:pPr>
            <w:r>
              <w:rPr>
                <w:sz w:val="13"/>
                <w:szCs w:val="13"/>
              </w:rPr>
              <w:t xml:space="preserve">C</w:t>
            </w:r>
            <w:r>
              <w:rPr>
                <w:vertAlign w:val="subscript"/>
                <w:sz w:val="13"/>
                <w:szCs w:val="13"/>
              </w:rPr>
              <w:t xml:space="preserve">10</w:t>
            </w:r>
            <w:r>
              <w:rPr>
                <w:sz w:val="13"/>
                <w:szCs w:val="13"/>
              </w:rPr>
              <w:t xml:space="preserve">H</w:t>
            </w:r>
            <w:r>
              <w:rPr>
                <w:vertAlign w:val="subscript"/>
                <w:sz w:val="13"/>
                <w:szCs w:val="13"/>
              </w:rPr>
              <w:t xml:space="preserve">9</w:t>
            </w:r>
            <w:r>
              <w:rPr>
                <w:sz w:val="13"/>
                <w:szCs w:val="13"/>
              </w:rPr>
              <w:t xml:space="preserve">N</w:t>
            </w:r>
            <w:r>
              <w:rPr>
                <w:vertAlign w:val="subscript"/>
                <w:sz w:val="13"/>
                <w:szCs w:val="13"/>
              </w:rPr>
              <w:t xml:space="preserve">5</w:t>
            </w:r>
            <w:r>
              <w:rPr>
                <w:sz w:val="13"/>
                <w:szCs w:val="13"/>
              </w:rPr>
              <w:t xml:space="preserve">O</w:t>
            </w:r>
            <w:r>
              <w:rPr>
                <w:vertAlign w:val="subscript"/>
                <w:sz w:val="13"/>
                <w:szCs w:val="13"/>
              </w:rPr>
              <w:t xml:space="preserve">7</w:t>
            </w:r>
          </w:p>
        </w:tc>
        <w:tc>
          <w:tcPr>
            <w:vAlign w:val="center"/>
          </w:tcPr>
          <w:p>
            <w:pPr>
              <w:pStyle w:val="Compact"/>
              <w:suppressAutoHyphens/>
              <w:jc w:val="center"/>
            </w:pPr>
            <w:r>
              <w:rPr>
                <w:sz w:val="13"/>
                <w:szCs w:val="13"/>
              </w:rPr>
              <w:t xml:space="preserve">311.05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C[C@@H]([C@@H]1C=C(/C=C\C=C2\CCCCN2C)[C@]2(C=Nc3ccccc32)C(=O)[C@@H]1OCc1ccccc1)[N+](=O)[O-]</w:t>
            </w:r>
          </w:p>
        </w:tc>
        <w:tc>
          <w:tcPr>
            <w:vAlign w:val="center"/>
          </w:tcPr>
          <w:p>
            <w:pPr>
              <w:pStyle w:val="Compact"/>
              <w:suppressAutoHyphens/>
              <w:jc w:val="center"/>
            </w:pPr>
            <w:r>
              <w:rPr>
                <w:sz w:val="13"/>
                <w:szCs w:val="13"/>
              </w:rPr>
              <w:t xml:space="preserve">C</w:t>
            </w:r>
            <w:r>
              <w:rPr>
                <w:vertAlign w:val="subscript"/>
                <w:sz w:val="13"/>
                <w:szCs w:val="13"/>
              </w:rPr>
              <w:t xml:space="preserve">31</w:t>
            </w:r>
            <w:r>
              <w:rPr>
                <w:sz w:val="13"/>
                <w:szCs w:val="13"/>
              </w:rPr>
              <w:t xml:space="preserve">H</w:t>
            </w:r>
            <w:r>
              <w:rPr>
                <w:vertAlign w:val="subscript"/>
                <w:sz w:val="13"/>
                <w:szCs w:val="13"/>
              </w:rPr>
              <w:t xml:space="preserve">33</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4</w:t>
            </w:r>
          </w:p>
        </w:tc>
        <w:tc>
          <w:tcPr>
            <w:vAlign w:val="center"/>
          </w:tcPr>
          <w:p>
            <w:pPr>
              <w:pStyle w:val="Compact"/>
              <w:suppressAutoHyphens/>
              <w:jc w:val="center"/>
            </w:pPr>
            <w:r>
              <w:rPr>
                <w:sz w:val="13"/>
                <w:szCs w:val="13"/>
              </w:rPr>
              <w:t xml:space="preserve">511.25</w:t>
            </w:r>
          </w:p>
        </w:tc>
        <w:tc>
          <w:tcPr>
            <w:vAlign w:val="center"/>
          </w:tcPr>
          <w:p>
            <w:pPr>
              <w:pStyle w:val="Compact"/>
              <w:suppressAutoHyphens/>
              <w:jc w:val="center"/>
            </w:pPr>
            <w:r>
              <w:rPr>
                <w:sz w:val="13"/>
                <w:szCs w:val="13"/>
              </w:rPr>
              <w:t xml:space="preserve">0.739</w:t>
            </w:r>
          </w:p>
        </w:tc>
      </w:tr>
      <w:tr>
        <w:tc>
          <w:tcPr>
            <w:vAlign w:val="center"/>
          </w:tcPr>
          <w:p>
            <w:pPr>
              <w:pStyle w:val="Compact"/>
              <w:suppressAutoHyphens/>
              <w:jc w:val="center"/>
            </w:pPr>
            <w:r>
              <w:rPr>
                <w:sz w:val="13"/>
                <w:szCs w:val="13"/>
              </w:rPr>
              <w:t xml:space="preserve">C=C1N=C2OC(=O)N2C(=O)COC(=O)NC1=O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5</w:t>
            </w:r>
            <w:r>
              <w:rPr>
                <w:sz w:val="13"/>
                <w:szCs w:val="13"/>
              </w:rPr>
              <w:t xml:space="preserve">N</w:t>
            </w:r>
            <w:r>
              <w:rPr>
                <w:vertAlign w:val="subscript"/>
                <w:sz w:val="13"/>
                <w:szCs w:val="13"/>
              </w:rPr>
              <w:t xml:space="preserve">3</w:t>
            </w:r>
            <w:r>
              <w:rPr>
                <w:sz w:val="13"/>
                <w:szCs w:val="13"/>
              </w:rPr>
              <w:t xml:space="preserve">O</w:t>
            </w:r>
            <w:r>
              <w:rPr>
                <w:vertAlign w:val="subscript"/>
                <w:sz w:val="13"/>
                <w:szCs w:val="13"/>
              </w:rPr>
              <w:t xml:space="preserve">6</w:t>
            </w:r>
          </w:p>
        </w:tc>
        <w:tc>
          <w:tcPr>
            <w:vAlign w:val="center"/>
          </w:tcPr>
          <w:p>
            <w:pPr>
              <w:pStyle w:val="Compact"/>
              <w:suppressAutoHyphens/>
              <w:jc w:val="center"/>
            </w:pPr>
            <w:r>
              <w:rPr>
                <w:sz w:val="13"/>
                <w:szCs w:val="13"/>
              </w:rPr>
              <w:t xml:space="preserve">239.02</w:t>
            </w:r>
          </w:p>
        </w:tc>
        <w:tc>
          <w:tcPr>
            <w:vAlign w:val="center"/>
          </w:tcPr>
          <w:p>
            <w:pPr>
              <w:pStyle w:val="Compact"/>
              <w:suppressAutoHyphens/>
              <w:jc w:val="center"/>
            </w:pPr>
            <w:r>
              <w:rPr>
                <w:sz w:val="13"/>
                <w:szCs w:val="13"/>
              </w:rPr>
              <w:t xml:space="preserve">0.736</w:t>
            </w:r>
          </w:p>
        </w:tc>
      </w:tr>
      <w:tr>
        <w:tc>
          <w:tcPr>
            <w:vAlign w:val="center"/>
          </w:tcPr>
          <w:p>
            <w:pPr>
              <w:pStyle w:val="Compact"/>
              <w:suppressAutoHyphens/>
              <w:jc w:val="center"/>
            </w:pPr>
            <w:r>
              <w:rPr>
                <w:sz w:val="13"/>
                <w:szCs w:val="13"/>
              </w:rPr>
              <w:t xml:space="preserve">CC12OC(O1)C(=O)C(=O)N(C=O)OCC2=O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7</w:t>
            </w:r>
            <w:r>
              <w:rPr>
                <w:sz w:val="13"/>
                <w:szCs w:val="13"/>
              </w:rPr>
              <w:t xml:space="preserve">NO</w:t>
            </w:r>
            <w:r>
              <w:rPr>
                <w:vertAlign w:val="subscript"/>
                <w:sz w:val="13"/>
                <w:szCs w:val="13"/>
              </w:rPr>
              <w:t xml:space="preserve">7</w:t>
            </w:r>
          </w:p>
        </w:tc>
        <w:tc>
          <w:tcPr>
            <w:vAlign w:val="center"/>
          </w:tcPr>
          <w:p>
            <w:pPr>
              <w:pStyle w:val="Compact"/>
              <w:suppressAutoHyphens/>
              <w:jc w:val="center"/>
            </w:pPr>
            <w:r>
              <w:rPr>
                <w:sz w:val="13"/>
                <w:szCs w:val="13"/>
              </w:rPr>
              <w:t xml:space="preserve">229.02</w:t>
            </w:r>
          </w:p>
        </w:tc>
        <w:tc>
          <w:tcPr>
            <w:vAlign w:val="center"/>
          </w:tcPr>
          <w:p>
            <w:pPr>
              <w:pStyle w:val="Compact"/>
              <w:suppressAutoHyphens/>
              <w:jc w:val="center"/>
            </w:pPr>
            <w:r>
              <w:rPr>
                <w:sz w:val="13"/>
                <w:szCs w:val="13"/>
              </w:rPr>
              <w:t xml:space="preserve">0.732</w:t>
            </w:r>
          </w:p>
        </w:tc>
      </w:tr>
      <w:tr>
        <w:tc>
          <w:tcPr>
            <w:vAlign w:val="center"/>
          </w:tcPr>
          <w:p>
            <w:pPr>
              <w:pStyle w:val="Compact"/>
              <w:suppressAutoHyphens/>
              <w:jc w:val="center"/>
            </w:pPr>
            <w:r>
              <w:rPr>
                <w:sz w:val="13"/>
                <w:szCs w:val="13"/>
              </w:rPr>
              <w:t xml:space="preserve">COC(=O)N1CCCC(C)(C)N1O</w:t>
            </w:r>
          </w:p>
        </w:tc>
        <w:tc>
          <w:tcPr>
            <w:vAlign w:val="center"/>
          </w:tcPr>
          <w:p>
            <w:pPr>
              <w:pStyle w:val="Compact"/>
              <w:suppressAutoHyphens/>
              <w:jc w:val="center"/>
            </w:pPr>
            <w:r>
              <w:rPr>
                <w:sz w:val="13"/>
                <w:szCs w:val="13"/>
              </w:rPr>
              <w:t xml:space="preserve">C</w:t>
            </w:r>
            <w:r>
              <w:rPr>
                <w:vertAlign w:val="subscript"/>
                <w:sz w:val="13"/>
                <w:szCs w:val="13"/>
              </w:rPr>
              <w:t xml:space="preserve">8</w:t>
            </w:r>
            <w:r>
              <w:rPr>
                <w:sz w:val="13"/>
                <w:szCs w:val="13"/>
              </w:rPr>
              <w:t xml:space="preserve">H</w:t>
            </w:r>
            <w:r>
              <w:rPr>
                <w:vertAlign w:val="subscript"/>
                <w:sz w:val="13"/>
                <w:szCs w:val="13"/>
              </w:rPr>
              <w:t xml:space="preserve">16</w:t>
            </w:r>
            <w:r>
              <w:rPr>
                <w:sz w:val="13"/>
                <w:szCs w:val="13"/>
              </w:rPr>
              <w:t xml:space="preserve">N</w:t>
            </w:r>
            <w:r>
              <w:rPr>
                <w:vertAlign w:val="subscript"/>
                <w:sz w:val="13"/>
                <w:szCs w:val="13"/>
              </w:rPr>
              <w:t xml:space="preserve">2</w:t>
            </w:r>
            <w:r>
              <w:rPr>
                <w:sz w:val="13"/>
                <w:szCs w:val="13"/>
              </w:rPr>
              <w:t xml:space="preserve">O</w:t>
            </w:r>
            <w:r>
              <w:rPr>
                <w:vertAlign w:val="subscript"/>
                <w:sz w:val="13"/>
                <w:szCs w:val="13"/>
              </w:rPr>
              <w:t xml:space="preserve">3</w:t>
            </w:r>
          </w:p>
        </w:tc>
        <w:tc>
          <w:tcPr>
            <w:vAlign w:val="center"/>
          </w:tcPr>
          <w:p>
            <w:pPr>
              <w:pStyle w:val="Compact"/>
              <w:suppressAutoHyphens/>
              <w:jc w:val="center"/>
            </w:pPr>
            <w:r>
              <w:rPr>
                <w:sz w:val="13"/>
                <w:szCs w:val="13"/>
              </w:rPr>
              <w:t xml:space="preserve">188.12</w:t>
            </w:r>
          </w:p>
        </w:tc>
        <w:tc>
          <w:tcPr>
            <w:vAlign w:val="center"/>
          </w:tcPr>
          <w:p>
            <w:pPr>
              <w:pStyle w:val="Compact"/>
              <w:suppressAutoHyphens/>
              <w:jc w:val="center"/>
            </w:pPr>
            <w:r>
              <w:rPr>
                <w:sz w:val="13"/>
                <w:szCs w:val="13"/>
              </w:rPr>
              <w:t xml:space="preserve">0.730</w:t>
            </w:r>
          </w:p>
        </w:tc>
      </w:tr>
    </w:tbl>
    <w:p>
      <w:pPr>
        <w:pStyle w:val="MDPI22heading2"/>
        <w:ind w:left="2608"/>
      </w:pPr>
      <w:r>
        <w:t xml:space="preserve">F. Detailed ablations (migrated from Section 2.6)</w:t>
      </w:r>
    </w:p>
    <w:p>
      <w:pPr>
        <w:pStyle w:val="MDPI18keywords"/>
        <w:ind w:left="2608"/>
      </w:pPr>
      <w:r>
        <w:t xml:space="preserve">This appendix collects the full prose, sub-tables, and figures for each ablation summarised in Table 8. The body Section 2.6 carries only the headline numbers; this appendix carries the per-condition detail.</w:t>
      </w:r>
    </w:p>
    <w:p>
      <w:pPr>
        <w:pStyle w:val="MDPI23heading3"/>
        <w:ind w:left="2608"/>
      </w:pPr>
      <w:r>
        <w:t xml:space="preserve">F.1 Self-distillation hard-negative budget (137 vs 918)</w:t>
      </w:r>
    </w:p>
    <w:p>
      <w:pPr>
        <w:pStyle w:val="MDPI18keywords"/>
        <w:ind w:left="2608"/>
      </w:pPr>
      <w:r>
        <w:t xml:space="preserve">A viability-head ablation comparing 137-vs-918 hard-negative budgets shows that score-model discriminative power scales directly with structurally-diverse latent negatives; the 918-budget run is required for Section 4.11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NTO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Supplementary Section D.9; the SC-gradient sweep and the heuristic-vs-literature sensitivity-head ablation (Supplementary Section B.2) are in Supplementary Section D.6.</w:t>
      </w:r>
    </w:p>
    <w:p>
      <w:pPr>
        <w:pStyle w:val="MDPI41tablecaption"/>
        <w:ind w:left="2608"/>
      </w:pPr>
      <w:r>
        <w:rPr>
          <w:b/>
          <w:bCs/>
        </w:rPr>
        <w:t xml:space="preserve">Table S24.</w:t>
      </w:r>
      <w:r>
        <w:t xml:space="preserve"> </w:t>
      </w:r>
      <w:r>
        <w:t xml:space="preserve">Hard-negative budget effect on the held-out 7-anchor / 5-cheat probe (numbers from Supplementary Section D.9). Anchor min and cheat max are the per-set extrema of the viability-head output; the worst-offender column tracks the gem-tetranitro model-cheat across budgets.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163"/>
        <w:gridCol w:w="1416"/>
        <w:gridCol w:w="1221"/>
        <w:gridCol w:w="3058"/>
      </w:tblGrid>
      <w:tr>
        <w:trPr>
          <w:tblHeader w:val="on"/>
        </w:trPr>
        <w:tc>
          <w:tcPr>
            <w:tcBorders>
              <w:bottom w:val="single" w:sz="8" w:space="0" w:color="auto"/>
            </w:tcBorders>
            <w:vAlign w:val="center"/>
          </w:tcPr>
          <w:p>
            <w:pPr>
              <w:pStyle w:val="Compact"/>
              <w:suppressAutoHyphens/>
              <w:jc w:val="center"/>
            </w:pPr>
            <w:r>
              <w:rPr>
                <w:b/>
                <w:sz w:val="18"/>
                <w:szCs w:val="18"/>
              </w:rPr>
              <w:t xml:space="preserve">HN budget</w:t>
            </w:r>
          </w:p>
        </w:tc>
        <w:tc>
          <w:tcPr>
            <w:tcBorders>
              <w:bottom w:val="single" w:sz="8" w:space="0" w:color="auto"/>
            </w:tcBorders>
            <w:vAlign w:val="center"/>
          </w:tcPr>
          <w:p>
            <w:pPr>
              <w:pStyle w:val="Compact"/>
              <w:suppressAutoHyphens/>
              <w:jc w:val="center"/>
            </w:pPr>
            <w:r>
              <w:rPr>
                <w:b/>
                <w:sz w:val="18"/>
                <w:szCs w:val="18"/>
              </w:rPr>
              <w:t xml:space="preserve">Anchor min</w:t>
            </w:r>
          </w:p>
        </w:tc>
        <w:tc>
          <w:tcPr>
            <w:tcBorders>
              <w:bottom w:val="single" w:sz="8" w:space="0" w:color="auto"/>
            </w:tcBorders>
            <w:vAlign w:val="center"/>
          </w:tcPr>
          <w:p>
            <w:pPr>
              <w:pStyle w:val="Compact"/>
              <w:suppressAutoHyphens/>
              <w:jc w:val="center"/>
            </w:pPr>
            <w:r>
              <w:rPr>
                <w:b/>
                <w:sz w:val="18"/>
                <w:szCs w:val="18"/>
              </w:rPr>
              <w:t xml:space="preserve">Cheat max</w:t>
            </w:r>
          </w:p>
        </w:tc>
        <w:tc>
          <w:tcPr>
            <w:tcBorders>
              <w:bottom w:val="single" w:sz="8" w:space="0" w:color="auto"/>
            </w:tcBorders>
            <w:vAlign w:val="center"/>
          </w:tcPr>
          <w:p>
            <w:pPr>
              <w:pStyle w:val="Compact"/>
              <w:suppressAutoHyphens/>
              <w:jc w:val="center"/>
            </w:pPr>
            <w:r>
              <w:rPr>
                <w:b/>
                <w:sz w:val="18"/>
                <w:szCs w:val="18"/>
              </w:rPr>
              <w:t xml:space="preserve">Worst-offender (gem-tetranitro)</w:t>
            </w:r>
          </w:p>
        </w:tc>
      </w:tr>
      <w:tr>
        <w:tc>
          <w:tcPr>
            <w:vAlign w:val="center"/>
          </w:tcPr>
          <w:p>
            <w:pPr>
              <w:pStyle w:val="Compact"/>
              <w:suppressAutoHyphens/>
              <w:jc w:val="center"/>
            </w:pPr>
            <w:r>
              <w:rPr>
                <w:sz w:val="18"/>
                <w:szCs w:val="18"/>
              </w:rPr>
              <w:t xml:space="preserve">137 (round-1)</w:t>
            </w:r>
          </w:p>
        </w:tc>
        <w:tc>
          <w:tcPr>
            <w:vAlign w:val="center"/>
          </w:tcPr>
          <w:p>
            <w:pPr>
              <w:pStyle w:val="Compact"/>
              <w:suppressAutoHyphens/>
              <w:jc w:val="center"/>
            </w:pPr>
            <w:r>
              <w:rPr>
                <w:sz w:val="18"/>
                <w:szCs w:val="18"/>
              </w:rPr>
              <w:t xml:space="preserve">0.93</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0.84</w:t>
            </w:r>
          </w:p>
        </w:tc>
      </w:tr>
      <w:tr>
        <w:tc>
          <w:tcPr>
            <w:vAlign w:val="center"/>
          </w:tcPr>
          <w:p>
            <w:pPr>
              <w:pStyle w:val="Compact"/>
              <w:suppressAutoHyphens/>
              <w:jc w:val="center"/>
            </w:pPr>
            <w:r>
              <w:rPr>
                <w:sz w:val="18"/>
                <w:szCs w:val="18"/>
              </w:rPr>
              <w:t xml:space="preserve">918 (production)</w:t>
            </w:r>
          </w:p>
        </w:tc>
        <w:tc>
          <w:tcPr>
            <w:vAlign w:val="center"/>
          </w:tcPr>
          <w:p>
            <w:pPr>
              <w:pStyle w:val="Compact"/>
              <w:suppressAutoHyphens/>
              <w:jc w:val="center"/>
            </w:pPr>
            <w:r>
              <w:rPr>
                <w:sz w:val="18"/>
                <w:szCs w:val="18"/>
              </w:rPr>
              <w:t xml:space="preserve">0.86</w:t>
            </w:r>
          </w:p>
        </w:tc>
        <w:tc>
          <w:tcPr>
            <w:vAlign w:val="center"/>
          </w:tcPr>
          <w:p>
            <w:pPr>
              <w:pStyle w:val="Compact"/>
              <w:suppressAutoHyphens/>
              <w:jc w:val="center"/>
            </w:pPr>
            <w:r>
              <w:rPr>
                <w:sz w:val="18"/>
                <w:szCs w:val="18"/>
              </w:rPr>
              <w:t xml:space="preserve">0.84</w:t>
            </w:r>
          </w:p>
        </w:tc>
        <w:tc>
          <w:tcPr>
            <w:vAlign w:val="center"/>
          </w:tcPr>
          <w:p>
            <w:pPr>
              <w:pStyle w:val="Compact"/>
              <w:suppressAutoHyphens/>
              <w:jc w:val="center"/>
            </w:pPr>
            <w:r>
              <w:rPr>
                <w:sz w:val="18"/>
                <w:szCs w:val="18"/>
              </w:rPr>
              <w:t xml:space="preserve">0.74 (−0.10 absolute)</w:t>
            </w:r>
          </w:p>
        </w:tc>
      </w:tr>
    </w:tbl>
    <w:p>
      <w:pPr>
        <w:pStyle w:val="MDPI23heading3"/>
        <w:ind w:left="2608"/>
      </w:pPr>
      <w:r>
        <w:t xml:space="preserve">F.2 Diffusion + guidance prior vs Gaussian-latent control</w:t>
      </w:r>
    </w:p>
    <w:p>
      <w:pPr>
        <w:pStyle w:val="MDPI18keywords"/>
        <w:ind w:left="2608"/>
      </w:pPr>
      <w:r>
        <w:t xml:space="preserve">A 3k-sample Gaussian baseline (LIMO decoder + SMARTS gate + SA/SC caps + Tanimoto window [0.15, 0.65] + Uni-Mol ranking) yields a top-1 composite of 1.10 (</w:t>
      </w:r>
      <m:oMath>
        <m:r>
          <m:t>ρ</m:t>
        </m:r>
        <m:r>
          <m:rPr>
            <m:sty m:val="p"/>
          </m:rPr>
          <m:t>=</m:t>
        </m:r>
        <m:r>
          <m:t>1.89</m:t>
        </m:r>
      </m:oMath>
      <w:r>
        <w:t xml:space="preserve"> g cm</w:t>
      </w:r>
      <w:r>
        <w:rPr>
          <w:vertAlign w:val="superscript"/>
        </w:rPr>
        <w:t xml:space="preserve">−3</w:t>
      </w:r>
      <w:r>
        <w:t xml:space="preserve">,</w:t>
      </w:r>
      <w:r>
        <w:t xml:space="preserve"> </w:t>
      </w:r>
      <m:oMath>
        <m:r>
          <m:t>D</m:t>
        </m:r>
        <m:r>
          <m:rPr>
            <m:sty m:val="p"/>
          </m:rPr>
          <m:t>=</m:t>
        </m:r>
        <m:r>
          <m:t>9.02</m:t>
        </m:r>
      </m:oMath>
      <w:r>
        <w:t xml:space="preserve"> km s</w:t>
      </w:r>
      <w:r>
        <w:rPr>
          <w:vertAlign w:val="superscript"/>
        </w:rPr>
        <w:t xml:space="preserve">−1</w:t>
      </w:r>
      <w:r>
        <w:t xml:space="preserve">,</w:t>
      </w:r>
      <w:r>
        <w:t xml:space="preserve"> </w:t>
      </w:r>
      <m:oMath>
        <m:r>
          <m:t>P</m:t>
        </m:r>
        <m:r>
          <m:rPr>
            <m:sty m:val="p"/>
          </m:rPr>
          <m:t>=</m:t>
        </m:r>
        <m:r>
          <m:t>35.9</m:t>
        </m:r>
      </m:oMath>
      <w:r>
        <w:t xml:space="preserve"> GPa) with a 15 % pipeline keep rate. A compute-matched 40k run (described below and in Table S25) reveals a qualitatively different picture once the Uni-Mol performance-ranking step is removed.</w:t>
      </w:r>
    </w:p>
    <w:p>
      <w:pPr>
        <w:pStyle w:val="MDPI18keywords"/>
        <w:ind w:left="2608"/>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 s</w:t>
      </w:r>
      <w:r>
        <w:rPr>
          <w:vertAlign w:val="superscript"/>
        </w:rPr>
        <w:t xml:space="preserve">−1</w:t>
      </w:r>
      <w:r>
        <w:t xml:space="preserve">). The 48 % vs 4.6 % keep-rate reversal confirms that the diffusion prior's contribution is not in generating chemically plausible molecules (a Gaussian prior does that easily) but in concentrating the distribution on the high-performance tail.</w:t>
      </w:r>
    </w:p>
    <w:p>
      <w:pPr>
        <w:pStyle w:val="MDPI41tablecaption"/>
        <w:ind w:left="2608"/>
      </w:pPr>
      <w:r>
        <w:rPr>
          <w:b/>
          <w:bCs/>
        </w:rPr>
        <w:t xml:space="preserve">Table S25.</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170"/>
        <w:gridCol w:w="552"/>
        <w:gridCol w:w="899"/>
        <w:gridCol w:w="1054"/>
        <w:gridCol w:w="1787"/>
        <w:gridCol w:w="2396"/>
      </w:tblGrid>
      <w:tr>
        <w:trPr>
          <w:tblHeader w:val="on"/>
        </w:trPr>
        <w:tc>
          <w:tcPr>
            <w:tcBorders>
              <w:bottom w:val="single" w:sz="8" w:space="0" w:color="auto"/>
            </w:tcBorders>
            <w:vAlign w:val="center"/>
          </w:tcPr>
          <w:p>
            <w:pPr>
              <w:pStyle w:val="Compact"/>
              <w:suppressAutoHyphens/>
              <w:jc w:val="center"/>
            </w:pPr>
            <w:r>
              <w:rPr>
                <w:b/>
                <w:sz w:val="18"/>
                <w:szCs w:val="18"/>
              </w:rPr>
              <w:t xml:space="preserve">Prior</w:t>
            </w:r>
          </w:p>
        </w:tc>
        <w:tc>
          <w:tcPr>
            <w:tcBorders>
              <w:bottom w:val="single" w:sz="8" w:space="0" w:color="auto"/>
            </w:tcBorders>
            <w:vAlign w:val="center"/>
          </w:tcPr>
          <w:p>
            <w:pPr>
              <w:pStyle w:val="Compact"/>
              <w:suppressAutoHyphens/>
              <w:jc w:val="center"/>
            </w:pPr>
            <w:r>
              <w:rPr>
                <w:b/>
                <w:sz w:val="18"/>
                <w:szCs w:val="18"/>
              </w:rPr>
              <w:t xml:space="preserve">Pool size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composite</w:t>
            </w:r>
          </w:p>
        </w:tc>
        <w:tc>
          <w:tcPr>
            <w:tcBorders>
              <w:bottom w:val="single" w:sz="8" w:space="0" w:color="auto"/>
            </w:tcBorders>
            <w:vAlign w:val="center"/>
          </w:tcPr>
          <w:p>
            <w:pPr>
              <w:pStyle w:val="Compact"/>
              <w:suppressAutoHyphens/>
              <w:jc w:val="center"/>
            </w:pPr>
            <w:r>
              <w:rPr>
                <w:b/>
                <w:sz w:val="18"/>
                <w:szCs w:val="18"/>
              </w:rPr>
              <w:t xml:space="preserve">Keep rate (pipeline def.)</w:t>
            </w:r>
          </w:p>
        </w:tc>
        <w:tc>
          <w:tcPr>
            <w:tcBorders>
              <w:bottom w:val="single" w:sz="8" w:space="0" w:color="auto"/>
            </w:tcBorders>
            <w:vAlign w:val="center"/>
          </w:tcPr>
          <w:p>
            <w:pPr>
              <w:pStyle w:val="Compact"/>
              <w:suppressAutoHyphens/>
              <w:jc w:val="center"/>
            </w:pPr>
            <w:r>
              <w:rPr>
                <w:b/>
                <w:sz w:val="18"/>
                <w:szCs w:val="18"/>
              </w:rPr>
              <w:t xml:space="preserve">Top-1 SMILES</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(3k, Uni-Mol-ranked)</w:t>
            </w:r>
          </w:p>
        </w:tc>
        <w:tc>
          <w:tcPr>
            <w:vAlign w:val="center"/>
          </w:tcPr>
          <w:p>
            <w:pPr>
              <w:pStyle w:val="Compact"/>
              <w:suppressAutoHyphens/>
              <w:jc w:val="center"/>
            </w:pPr>
            <w:r>
              <w:rPr>
                <w:sz w:val="18"/>
                <w:szCs w:val="18"/>
              </w:rPr>
              <w:t xml:space="preserve">3 000</w:t>
            </w:r>
          </w:p>
        </w:tc>
        <w:tc>
          <w:tcPr>
            <w:vAlign w:val="center"/>
          </w:tcPr>
          <w:p>
            <w:pPr>
              <w:pStyle w:val="Compact"/>
              <w:suppressAutoHyphens/>
              <w:jc w:val="center"/>
            </w:pPr>
            <w:r>
              <w:rPr>
                <w:sz w:val="18"/>
                <w:szCs w:val="18"/>
              </w:rPr>
              <w:t xml:space="preserve">9.02</w:t>
            </w:r>
          </w:p>
        </w:tc>
        <w:tc>
          <w:tcPr>
            <w:vAlign w:val="center"/>
          </w:tcPr>
          <w:p>
            <w:pPr>
              <w:pStyle w:val="Compact"/>
              <w:suppressAutoHyphens/>
              <w:jc w:val="center"/>
            </w:pPr>
            <w:r>
              <w:rPr>
                <w:sz w:val="18"/>
                <w:szCs w:val="18"/>
              </w:rPr>
              <w:t xml:space="preserve">1.10</w:t>
            </w:r>
          </w:p>
        </w:tc>
        <w:tc>
          <w:tcPr>
            <w:vAlign w:val="center"/>
          </w:tcPr>
          <w:p>
            <w:pPr>
              <w:pStyle w:val="Compact"/>
              <w:suppressAutoHyphens/>
              <w:jc w:val="center"/>
            </w:pPr>
            <w:r>
              <w:rPr>
                <w:sz w:val="18"/>
                <w:szCs w:val="18"/>
              </w:rPr>
              <w:t xml:space="preserve">15 % (Uni-Mol)</w:t>
            </w:r>
          </w:p>
        </w:tc>
        <w:tc>
          <w:tcPr>
            <w:vAlign w:val="center"/>
          </w:tcPr>
          <w:p>
            <w:pPr>
              <w:pStyle w:val="Compact"/>
              <w:suppressAutoHyphens/>
              <w:jc w:val="center"/>
            </w:pPr>
            <w:r>
              <w:rPr>
                <w:rStyle w:val="VerbatimChar"/>
                <w:sz w:val="18"/>
                <w:szCs w:val="18"/>
              </w:rPr>
              <w:t xml:space="preserve">O=[N+]([O-])c1ccncc1</w:t>
            </w:r>
          </w:p>
        </w:tc>
      </w:tr>
      <w:tr>
        <w:tc>
          <w:tcPr>
            <w:vAlign w:val="center"/>
          </w:tcPr>
          <w:p>
            <w:pPr>
              <w:pStyle w:val="Compact"/>
              <w:suppressAutoHyphens/>
              <w:jc w:val="center"/>
            </w:pPr>
            <w:r>
              <w:rPr>
                <w:sz w:val="18"/>
                <w:szCs w:val="18"/>
              </w:rPr>
              <w:t xml:space="preserve">Gaussian</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sSub>
                <m:e>
                  <m:r>
                    <w:rPr>
                      <w:sz w:val="18"/>
                      <w:szCs w:val="18"/>
                    </w:rPr>
                    <m:t>I</m:t>
                  </m:r>
                </m:e>
                <m:sub>
                  <m:r>
                    <w:rPr>
                      <w:sz w:val="18"/>
                      <w:szCs w:val="18"/>
                    </w:rPr>
                    <m:t>1024</m:t>
                  </m:r>
                </m:sub>
              </m:sSub>
              <m:r>
                <w:rPr>
                  <w:sz w:val="18"/>
                  <w:szCs w:val="18"/>
                </w:rPr>
                <m:rPr>
                  <m:sty m:val="p"/>
                </m:rPr>
                <m:t>)</m:t>
              </m:r>
            </m:oMath>
            <w:r>
              <w:rPr>
                <w:sz w:val="18"/>
                <w:szCs w:val="18"/>
              </w:rPr>
              <w:t xml:space="preserve"> </w:t>
            </w:r>
            <w:r>
              <w:rPr>
                <w:sz w:val="18"/>
                <w:szCs w:val="18"/>
              </w:rPr>
              <w:t xml:space="preserve">(40k, N-frac proxy)</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(not ranked by D; N-fraction proxy)</w:t>
            </w:r>
          </w:p>
        </w:tc>
        <w:tc>
          <w:tcPr>
            <w:vAlign w:val="center"/>
          </w:tcPr>
          <w:p>
            <w:pPr>
              <w:pStyle w:val="Compact"/>
              <w:suppressAutoHyphens/>
              <w:jc w:val="center"/>
            </w:pPr>
            <w:r>
              <w:rPr>
                <w:sz w:val="18"/>
                <w:szCs w:val="18"/>
              </w:rPr>
              <w:t xml:space="preserve">(not on the DGLD scale)</w:t>
            </w:r>
          </w:p>
        </w:tc>
        <w:tc>
          <w:tcPr>
            <w:vAlign w:val="center"/>
          </w:tcPr>
          <w:p>
            <w:pPr>
              <w:pStyle w:val="Compact"/>
              <w:suppressAutoHyphens/>
              <w:jc w:val="center"/>
            </w:pPr>
            <w:r>
              <w:rPr>
                <w:sz w:val="18"/>
                <w:szCs w:val="18"/>
              </w:rPr>
              <w:t xml:space="preserve">48 % (SMARTS+SA+min-10-HA)</w:t>
            </w:r>
          </w:p>
        </w:tc>
        <w:tc>
          <w:tcPr>
            <w:vAlign w:val="center"/>
          </w:tcPr>
          <w:p>
            <w:pPr>
              <w:pStyle w:val="Compact"/>
              <w:suppressAutoHyphens/>
              <w:jc w:val="center"/>
            </w:pPr>
            <w:r>
              <w:rPr>
                <w:rStyle w:val="VerbatimChar"/>
                <w:sz w:val="18"/>
                <w:szCs w:val="18"/>
              </w:rPr>
              <w:t xml:space="preserve">NC=NCNNCCCNn1cnnn1</w:t>
            </w:r>
            <w:r>
              <w:rPr>
                <w:sz w:val="18"/>
                <w:szCs w:val="18"/>
              </w:rPr>
              <w:t xml:space="preserve"> </w:t>
            </w:r>
            <w:r>
              <w:rPr>
                <w:sz w:val="18"/>
                <w:szCs w:val="18"/>
              </w:rPr>
              <w:t xml:space="preserve">(15-HA tetrazole chain,</w:t>
            </w:r>
            <w:r>
              <w:rPr>
                <w:sz w:val="18"/>
                <w:szCs w:val="18"/>
              </w:rPr>
              <w:t xml:space="preserve"> </w:t>
            </w:r>
            <m:oMath>
              <m:sSub>
                <m:e>
                  <m:r>
                    <w:rPr>
                      <w:sz w:val="18"/>
                      <w:szCs w:val="18"/>
                    </w:rPr>
                    <m:t>f</m:t>
                  </m:r>
                </m:e>
                <m:sub>
                  <m:r>
                    <w:rPr>
                      <w:sz w:val="18"/>
                      <w:szCs w:val="18"/>
                    </w:rPr>
                    <m:t>N</m:t>
                  </m:r>
                </m:sub>
              </m:sSub>
              <m:r>
                <w:rPr>
                  <w:sz w:val="18"/>
                  <w:szCs w:val="18"/>
                </w:rPr>
                <m:rPr>
                  <m:sty m:val="p"/>
                </m:rPr>
                <m:t>=</m:t>
              </m:r>
              <m:r>
                <w:rPr>
                  <w:sz w:val="18"/>
                  <w:szCs w:val="18"/>
                </w:rPr>
                <m:t>0.60</m:t>
              </m:r>
            </m:oMath>
            <w:r>
              <w:rPr>
                <w:sz w:val="18"/>
                <w:szCs w:val="18"/>
              </w:rPr>
              <w:t xml:space="preserve">)</w:t>
            </w:r>
          </w:p>
        </w:tc>
      </w:tr>
      <w:tr>
        <w:tc>
          <w:tcPr>
            <w:vAlign w:val="center"/>
          </w:tcPr>
          <w:p>
            <w:pPr>
              <w:pStyle w:val="Compact"/>
              <w:suppressAutoHyphens/>
              <w:jc w:val="center"/>
            </w:pPr>
            <w:r>
              <w:rPr>
                <w:sz w:val="18"/>
                <w:szCs w:val="18"/>
              </w:rPr>
              <w:t xml:space="preserve">DGLD diffusion + guidance (M7 100k)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9.47</w:t>
            </w:r>
          </w:p>
        </w:tc>
        <w:tc>
          <w:tcPr>
            <w:vAlign w:val="center"/>
          </w:tcPr>
          <w:p>
            <w:pPr>
              <w:pStyle w:val="Compact"/>
              <w:suppressAutoHyphens/>
              <w:jc w:val="center"/>
            </w:pPr>
            <w:r>
              <w:rPr>
                <w:sz w:val="18"/>
                <w:szCs w:val="18"/>
              </w:rPr>
              <w:t xml:space="preserve">0.665</w:t>
            </w:r>
          </w:p>
        </w:tc>
        <w:tc>
          <w:tcPr>
            <w:vAlign w:val="center"/>
          </w:tcPr>
          <w:p>
            <w:pPr>
              <w:pStyle w:val="Compact"/>
              <w:suppressAutoHyphens/>
              <w:jc w:val="center"/>
            </w:pPr>
            <w:r>
              <w:rPr>
                <w:sz w:val="18"/>
                <w:szCs w:val="18"/>
              </w:rPr>
              <w:t xml:space="preserve">4.6 % (Uni-Mol)</w:t>
            </w:r>
          </w:p>
        </w:tc>
        <w:tc>
          <w:tcPr>
            <w:vAlign w:val="center"/>
          </w:tcPr>
          <w:p>
            <w:pPr>
              <w:pStyle w:val="Compact"/>
              <w:suppressAutoHyphens/>
              <w:jc w:val="center"/>
            </w:pPr>
            <w:r>
              <w:rPr>
                <w:rStyle w:val="VerbatimChar"/>
                <w:sz w:val="18"/>
                <w:szCs w:val="18"/>
              </w:rPr>
              <w:t xml:space="preserve">O=[N+]([O-])OC1C([N+](=O)[O-])=C1[N+](=O)[O-]</w:t>
            </w:r>
          </w:p>
        </w:tc>
      </w:tr>
      <w:tr>
        <w:tc>
          <w:tcPr>
            <w:vAlign w:val="center"/>
          </w:tcPr>
          <w:p>
            <w:pPr>
              <w:pStyle w:val="Compact"/>
              <w:suppressAutoHyphens/>
              <w:jc w:val="center"/>
            </w:pPr>
            <w:r>
              <w:rPr>
                <w:sz w:val="18"/>
                <w:szCs w:val="18"/>
              </w:rPr>
              <w:t xml:space="preserve">Lift (DGLD over Gaussian 3k)</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+0.45</w:t>
            </w:r>
          </w:p>
        </w:tc>
        <w:tc>
          <w:tcPr>
            <w:vAlign w:val="center"/>
          </w:tcPr>
          <w:p>
            <w:pPr>
              <w:pStyle w:val="Compact"/>
              <w:suppressAutoHyphens/>
              <w:jc w:val="center"/>
            </w:pPr>
            <w:r>
              <w:rPr>
                <w:sz w:val="18"/>
                <w:szCs w:val="18"/>
              </w:rPr>
              <w:t xml:space="preserve">−0.44 (better)</w:t>
            </w:r>
          </w:p>
        </w:tc>
        <w:tc>
          <w:tcPr>
            <w:vAlign w:val="center"/>
          </w:tcPr>
          <w:p>
            <w:pPr>
              <w:pStyle w:val="Compact"/>
              <w:suppressAutoHyphens/>
              <w:jc w:val="center"/>
            </w:pPr>
            <w:r>
              <w:rPr>
                <w:sz w:val="18"/>
                <w:szCs w:val="18"/>
              </w:rPr>
              <w:t xml:space="preserve">–</w:t>
            </w:r>
          </w:p>
        </w:tc>
        <w:tc>
          <w:tcPr>
            <w:vAlign w:val="center"/>
          </w:tcPr>
          <w:p>
            <w:pPr>
              <w:pStyle w:val="Compact"/>
              <w:suppressAutoHyphens/>
              <w:jc w:val="center"/>
            </w:pPr>
            <w:r>
              <w:rPr>
                <w:sz w:val="18"/>
                <w:szCs w:val="18"/>
              </w:rPr>
              <w:t xml:space="preserve">–</w:t>
            </w:r>
          </w:p>
        </w:tc>
      </w:tr>
    </w:tbl>
    <w:p>
      <w:pPr>
        <w:pStyle w:val="MDPI23heading3"/>
        <w:ind w:left="2608"/>
      </w:pPr>
      <w:r>
        <w:t xml:space="preserve">F.3 Multi-head guidance vs unguided at matched compute</w:t>
      </w:r>
    </w:p>
    <w:p>
      <w:pPr>
        <w:pStyle w:val="MDPI18keywords"/>
        <w:ind w:left="2608"/>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 s</w:t>
      </w:r>
      <w:r>
        <w:rPr>
          <w:vertAlign w:val="superscript"/>
        </w:rPr>
        <w:t xml:space="preserve">−1</w:t>
      </w:r>
      <w:r>
        <w:t xml:space="preserve">, and top-1</w:t>
      </w:r>
      <w:r>
        <w:t xml:space="preserve"> </w:t>
      </w:r>
      <m:oMath>
        <m:r>
          <m:t>P</m:t>
        </m:r>
      </m:oMath>
      <w:r>
        <w:t xml:space="preserve"> </w:t>
      </w:r>
      <w:r>
        <w:t xml:space="preserve">from 34.0 to 38.8 GPa (Figure S4).</w:t>
      </w:r>
    </w:p>
    <w:p xmlns:a="http://schemas.openxmlformats.org/drawingml/2006/main" xmlns:pic="http://schemas.openxmlformats.org/drawingml/2006/picture">
      <w:pPr>
        <w:pStyle w:val="MDPI52figure"/>
        <w:ind w:left="2608"/>
        <w:jc w:val="center"/>
      </w:pPr>
      <w:r>
        <w:drawing>
          <wp:inline>
            <wp:extent cx="4989830" cy="2536381"/>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22"/>
                    <a:stretch>
                      <a:fillRect/>
                    </a:stretch>
                  </pic:blipFill>
                  <pic:spPr bwMode="auto">
                    <a:xfrm>
                      <a:off x="0" y="0"/>
                      <a:ext cx="4989830" cy="2536381"/>
                    </a:xfrm>
                    <a:prstGeom prst="rect">
                      <a:avLst/>
                    </a:prstGeom>
                    <a:noFill/>
                    <a:ln w="9525">
                      <a:noFill/>
                      <a:headEnd/>
                      <a:tailEnd/>
                    </a:ln>
                  </pic:spPr>
                </pic:pic>
              </a:graphicData>
            </a:graphic>
          </wp:inline>
        </w:drawing>
      </w:r>
    </w:p>
    <w:p>
      <w:pPr>
        <w:pStyle w:val="MDPI51figurecaption"/>
        <w:ind w:left="2608"/>
      </w:pPr>
      <w:r>
        <w:rPr>
          <w:b/>
          <w:bCs/>
        </w:rPr>
        <w:t xml:space="preserve">Figure S4.</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MDPI18keywords"/>
        <w:ind w:left="2608"/>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MDPI41tablecaption"/>
        <w:ind w:left="2608"/>
      </w:pPr>
      <w:r>
        <w:rPr>
          <w:b/>
          <w:bCs/>
        </w:rPr>
        <w:t xml:space="preserve">Table S26.</w:t>
      </w:r>
      <w:r>
        <w:t xml:space="preserve"> </w:t>
      </w:r>
      <w:r>
        <w:t xml:space="preserve">Per-condition top-1 candidates from the four-way head-to-head at pool=40 000 single-seed.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84"/>
        <w:gridCol w:w="637"/>
        <w:gridCol w:w="1319"/>
        <w:gridCol w:w="2042"/>
        <w:gridCol w:w="1003"/>
        <w:gridCol w:w="1073"/>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 formula</w:t>
            </w:r>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scaffolds in top-100</w:t>
            </w:r>
          </w:p>
        </w:tc>
        <w:tc>
          <w:tcPr>
            <w:tcBorders>
              <w:bottom w:val="single" w:sz="8" w:space="0" w:color="auto"/>
            </w:tcBorders>
            <w:vAlign w:val="center"/>
          </w:tcPr>
          <w:p>
            <w:pPr>
              <w:pStyle w:val="Compact"/>
              <w:suppressAutoHyphens/>
              <w:jc w:val="center"/>
            </w:pPr>
            <w:r>
              <w:rPr>
                <w:b/>
                <w:sz w:val="18"/>
                <w:szCs w:val="18"/>
              </w:rPr>
              <w:t xml:space="preserve">internal diversity over top-100</w:t>
            </w:r>
          </w:p>
        </w:tc>
      </w:tr>
      <w:tr>
        <w:tc>
          <w:tcPr>
            <w:vAlign w:val="center"/>
          </w:tcPr>
          <w:p>
            <w:pPr>
              <w:pStyle w:val="Compact"/>
              <w:suppressAutoHyphens/>
              <w:jc w:val="center"/>
            </w:pPr>
            <w:r>
              <w:rPr>
                <w:b/>
                <w:bCs/>
                <w:sz w:val="18"/>
                <w:szCs w:val="18"/>
              </w:rPr>
              <w:t xml:space="preserve">C0</w:t>
            </w:r>
            <w:r>
              <w:rPr>
                <w:sz w:val="18"/>
                <w:szCs w:val="18"/>
              </w:rPr>
              <w:t xml:space="preserve"> </w:t>
            </w:r>
            <w:r>
              <w:rPr>
                <w:sz w:val="18"/>
                <w:szCs w:val="18"/>
              </w:rPr>
              <w:t xml:space="preserve">unguided</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r>
              <w:rPr>
                <w:sz w:val="18"/>
                <w:szCs w:val="18"/>
              </w:rPr>
              <w:t xml:space="preserve"> </w:t>
            </w:r>
            <w:r>
              <w:rPr>
                <w:sz w:val="18"/>
                <w:szCs w:val="18"/>
              </w:rPr>
              <w:t xml:space="preserve">(4-nitro-1,2,3,5-oxatriazole)</w:t>
            </w:r>
          </w:p>
        </w:tc>
        <w:tc>
          <w:tcPr>
            <w:vAlign w:val="center"/>
          </w:tcPr>
          <w:p>
            <w:pPr>
              <w:pStyle w:val="Compact"/>
              <w:suppressAutoHyphens/>
              <w:jc w:val="center"/>
            </w:pPr>
            <w:r>
              <w:rPr>
                <w:sz w:val="18"/>
                <w:szCs w:val="18"/>
              </w:rPr>
              <w:t xml:space="preserve">O=[N+]([O-])c1nnon1</w:t>
            </w:r>
          </w:p>
        </w:tc>
        <w:tc>
          <w:tcPr>
            <w:vAlign w:val="center"/>
          </w:tcPr>
          <w:p>
            <w:pPr>
              <w:pStyle w:val="Compact"/>
              <w:suppressAutoHyphens/>
              <w:jc w:val="center"/>
            </w:pPr>
            <w:r>
              <w:rPr>
                <w:sz w:val="18"/>
                <w:szCs w:val="18"/>
              </w:rPr>
              <w:t xml:space="preserve">12</w:t>
            </w:r>
          </w:p>
        </w:tc>
        <w:tc>
          <w:tcPr>
            <w:vAlign w:val="center"/>
          </w:tcPr>
          <w:p>
            <w:pPr>
              <w:pStyle w:val="Compact"/>
              <w:suppressAutoHyphens/>
              <w:jc w:val="center"/>
            </w:pPr>
            <w:r>
              <w:rPr>
                <w:sz w:val="18"/>
                <w:szCs w:val="18"/>
              </w:rPr>
              <w:t xml:space="preserve">0.806</w:t>
            </w:r>
          </w:p>
        </w:tc>
      </w:tr>
      <w:tr>
        <w:tc>
          <w:tcPr>
            <w:vAlign w:val="center"/>
          </w:tcPr>
          <w:p>
            <w:pPr>
              <w:pStyle w:val="Compact"/>
              <w:suppressAutoHyphens/>
              <w:jc w:val="center"/>
            </w:pPr>
            <w:r>
              <w:rPr>
                <w:b/>
                <w:bCs/>
                <w:sz w:val="18"/>
                <w:szCs w:val="18"/>
              </w:rPr>
              <w:t xml:space="preserve">C1</w:t>
            </w:r>
            <w:r>
              <w:rPr>
                <w:sz w:val="18"/>
                <w:szCs w:val="18"/>
              </w:rPr>
              <w:t xml:space="preserve"> </w:t>
            </w:r>
            <w:r>
              <w:rPr>
                <w:sz w:val="18"/>
                <w:szCs w:val="18"/>
              </w:rPr>
              <w:t xml:space="preserve">viab+sens (</w:t>
            </w:r>
            <m:oMath>
              <m:sSub>
                <m:e>
                  <m:r>
                    <w:rPr>
                      <w:sz w:val="18"/>
                      <w:szCs w:val="18"/>
                    </w:rPr>
                    <m:t>s</m:t>
                  </m:r>
                </m:e>
                <m:sub>
                  <m:r>
                    <w:rPr>
                      <w:sz w:val="18"/>
                      <w:szCs w:val="18"/>
                    </w:rPr>
                    <m:rPr>
                      <m:nor/>
                      <m:sty m:val="p"/>
                    </m:rPr>
                    <m:t>viab</m:t>
                  </m:r>
                </m:sub>
              </m:sSub>
              <m:r>
                <w:rPr>
                  <w:sz w:val="18"/>
                  <w:szCs w:val="18"/>
                </w:rPr>
                <m:t>​</m:t>
              </m:r>
              <m:r>
                <w:rPr>
                  <w:sz w:val="18"/>
                  <w:szCs w:val="18"/>
                </w:rPr>
                <m:rPr>
                  <m:sty m:val="p"/>
                </m:rPr>
                <m:t>=</m:t>
              </m:r>
              <m:r>
                <w:rPr>
                  <w:sz w:val="18"/>
                  <w:szCs w:val="18"/>
                </w:rPr>
                <m:t>​</m:t>
              </m:r>
              <m:r>
                <w:rPr>
                  <w:sz w:val="18"/>
                  <w:szCs w:val="18"/>
                </w:rPr>
                <m:t>1.0</m:t>
              </m:r>
              <m:r>
                <w:rPr>
                  <w:sz w:val="18"/>
                  <w:szCs w:val="18"/>
                </w:rPr>
                <m:rPr>
                  <m:sty m:val="p"/>
                </m:rPr>
                <m:t>,</m:t>
              </m:r>
              <m:r>
                <w:rPr>
                  <w:sz w:val="18"/>
                  <w:szCs w:val="18"/>
                </w:rPr>
                <m:t> </m:t>
              </m:r>
              <m:sSub>
                <m:e>
                  <m:r>
                    <w:rPr>
                      <w:sz w:val="18"/>
                      <w:szCs w:val="18"/>
                    </w:rPr>
                    <m:t>s</m:t>
                  </m:r>
                </m:e>
                <m:sub>
                  <m:r>
                    <w:rPr>
                      <w:sz w:val="18"/>
                      <w:szCs w:val="18"/>
                    </w:rPr>
                    <m:rPr>
                      <m:nor/>
                      <m:sty m:val="p"/>
                    </m:rPr>
                    <m:t>sens</m:t>
                  </m:r>
                </m:sub>
              </m:sSub>
              <m:r>
                <w:rPr>
                  <w:sz w:val="18"/>
                  <w:szCs w:val="18"/>
                </w:rPr>
                <m:t>​</m:t>
              </m:r>
              <m:r>
                <w:rPr>
                  <w:sz w:val="18"/>
                  <w:szCs w:val="18"/>
                </w:rPr>
                <m:rPr>
                  <m:sty m:val="p"/>
                </m:rPr>
                <m:t>=</m:t>
              </m:r>
              <m:r>
                <w:rPr>
                  <w:sz w:val="18"/>
                  <w:szCs w:val="18"/>
                </w:rPr>
                <m:t>​</m:t>
              </m:r>
              <m:r>
                <w:rPr>
                  <w:sz w:val="18"/>
                  <w:szCs w:val="18"/>
                </w:rPr>
                <m:t>0.3</m:t>
              </m:r>
            </m:oMath>
            <w:r>
              <w:rPr>
                <w:sz w:val="18"/>
                <w:szCs w:val="18"/>
              </w:rPr>
              <w:t xml:space="preserve">)</w:t>
            </w:r>
          </w:p>
        </w:tc>
        <w:tc>
          <w:tcPr>
            <w:vAlign w:val="center"/>
          </w:tcPr>
          <w:p>
            <w:pPr>
              <w:pStyle w:val="Compact"/>
              <w:suppressAutoHyphens/>
              <w:jc w:val="center"/>
            </w:pPr>
            <w:r>
              <w:rPr>
                <w:sz w:val="18"/>
                <w:szCs w:val="18"/>
              </w:rPr>
              <w:t xml:space="preserve">9.44</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O=[N+]([O-])C=C(N[N+](=O)[O-])[N+](=O)[O-]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0.778</w:t>
            </w:r>
          </w:p>
        </w:tc>
      </w:tr>
      <w:tr>
        <w:tc>
          <w:tcPr>
            <w:vAlign w:val="center"/>
          </w:tcPr>
          <w:p>
            <w:pPr>
              <w:pStyle w:val="Compact"/>
              <w:suppressAutoHyphens/>
              <w:jc w:val="center"/>
            </w:pPr>
            <w:r>
              <w:rPr>
                <w:b/>
                <w:bCs/>
                <w:sz w:val="18"/>
                <w:szCs w:val="18"/>
              </w:rPr>
              <w:t xml:space="preserve">C2</w:t>
            </w:r>
            <w:r>
              <w:rPr>
                <w:sz w:val="18"/>
                <w:szCs w:val="18"/>
              </w:rPr>
              <w:t xml:space="preserve"> </w:t>
            </w:r>
            <w:r>
              <w:rPr>
                <w:sz w:val="18"/>
                <w:szCs w:val="18"/>
              </w:rPr>
              <w:t xml:space="preserve">viab+sens+hazard (</w:t>
            </w:r>
            <m:oMath>
              <m:r>
                <w:rPr>
                  <w:sz w:val="18"/>
                  <w:szCs w:val="18"/>
                </w:rPr>
                <m:rPr>
                  <m:sty m:val="p"/>
                </m:rPr>
                <m:t>+</m:t>
              </m:r>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1.0</m:t>
              </m:r>
            </m:oMath>
            <w:r>
              <w:rPr>
                <w:sz w:val="18"/>
                <w:szCs w:val="18"/>
              </w:rPr>
              <w:t xml:space="preserve">)</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(dinitro-vinylene)</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C3</w:t>
            </w:r>
            <w:r>
              <w:rPr>
                <w:sz w:val="18"/>
                <w:szCs w:val="18"/>
              </w:rPr>
              <w:t xml:space="preserve"> </w:t>
            </w:r>
            <w:r>
              <w:rPr>
                <w:sz w:val="18"/>
                <w:szCs w:val="18"/>
              </w:rPr>
              <w:t xml:space="preserve">hazard-only (</w:t>
            </w:r>
            <m:oMath>
              <m:sSub>
                <m:e>
                  <m:r>
                    <w:rPr>
                      <w:sz w:val="18"/>
                      <w:szCs w:val="18"/>
                    </w:rPr>
                    <m:t>s</m:t>
                  </m:r>
                </m:e>
                <m:sub>
                  <m:r>
                    <w:rPr>
                      <w:sz w:val="18"/>
                      <w:szCs w:val="18"/>
                    </w:rPr>
                    <m:rPr>
                      <m:nor/>
                      <m:sty m:val="p"/>
                    </m:rPr>
                    <m:t>hazard</m:t>
                  </m:r>
                </m:sub>
              </m:sSub>
              <m:r>
                <w:rPr>
                  <w:sz w:val="18"/>
                  <w:szCs w:val="18"/>
                </w:rPr>
                <m:t>​</m:t>
              </m:r>
              <m:r>
                <w:rPr>
                  <w:sz w:val="18"/>
                  <w:szCs w:val="18"/>
                </w:rPr>
                <m:rPr>
                  <m:sty m:val="p"/>
                </m:rPr>
                <m:t>=</m:t>
              </m:r>
              <m:r>
                <w:rPr>
                  <w:sz w:val="18"/>
                  <w:szCs w:val="18"/>
                </w:rPr>
                <m:t>​</m:t>
              </m:r>
              <m:r>
                <w:rPr>
                  <w:sz w:val="18"/>
                  <w:szCs w:val="18"/>
                </w:rPr>
                <m:t>2.0</m:t>
              </m:r>
            </m:oMath>
            <w:r>
              <w:rPr>
                <w:sz w:val="18"/>
                <w:szCs w:val="18"/>
              </w:rPr>
              <w:t xml:space="preserve">, others=0)</w:t>
            </w:r>
          </w:p>
        </w:tc>
        <w:tc>
          <w:tcPr>
            <w:vAlign w:val="center"/>
          </w:tcPr>
          <w:p>
            <w:pPr>
              <w:pStyle w:val="Compact"/>
              <w:suppressAutoHyphens/>
              <w:jc w:val="center"/>
            </w:pPr>
            <w:r>
              <w:rPr>
                <w:sz w:val="18"/>
                <w:szCs w:val="18"/>
              </w:rPr>
              <w:t xml:space="preserve">9.53</w:t>
            </w:r>
          </w:p>
        </w:tc>
        <w:tc>
          <w:tcPr>
            <w:vAlign w:val="center"/>
          </w:tcPr>
          <w:p>
            <w:pPr>
              <w:pStyle w:val="Compact"/>
              <w:suppressAutoHyphens/>
              <w:jc w:val="center"/>
            </w:pPr>
            <w:r>
              <w:rPr>
                <w:sz w:val="18"/>
                <w:szCs w:val="18"/>
              </w:rPr>
              <w:t xml:space="preserve">C</w:t>
            </w:r>
            <w:r>
              <w:rPr>
                <w:vertAlign w:val="subscript"/>
                <w:sz w:val="18"/>
                <w:szCs w:val="18"/>
              </w:rPr>
              <w:t xml:space="preserve">2</w:t>
            </w:r>
            <w:r>
              <w:rPr>
                <w:sz w:val="18"/>
                <w:szCs w:val="18"/>
              </w:rPr>
              <w:t xml:space="preserve">HN</w:t>
            </w:r>
            <w:r>
              <w:rPr>
                <w:vertAlign w:val="subscript"/>
                <w:sz w:val="18"/>
                <w:szCs w:val="18"/>
              </w:rPr>
              <w:t xml:space="preserve">3</w:t>
            </w:r>
            <w:r>
              <w:rPr>
                <w:sz w:val="18"/>
                <w:szCs w:val="18"/>
              </w:rPr>
              <w:t xml:space="preserve">O</w:t>
            </w:r>
            <w:r>
              <w:rPr>
                <w:vertAlign w:val="subscript"/>
                <w:sz w:val="18"/>
                <w:szCs w:val="18"/>
              </w:rPr>
              <w:t xml:space="preserve">6</w:t>
            </w:r>
            <w:r>
              <w:rPr>
                <w:sz w:val="18"/>
                <w:szCs w:val="18"/>
              </w:rPr>
              <w:t xml:space="preserve"> </w:t>
            </w:r>
            <w:r>
              <w:rPr>
                <w:sz w:val="18"/>
                <w:szCs w:val="18"/>
              </w:rPr>
              <w:t xml:space="preserve">(same as C2)</w:t>
            </w:r>
          </w:p>
        </w:tc>
        <w:tc>
          <w:tcPr>
            <w:vAlign w:val="center"/>
          </w:tcPr>
          <w:p>
            <w:pPr>
              <w:pStyle w:val="Compact"/>
              <w:suppressAutoHyphens/>
              <w:jc w:val="center"/>
            </w:pPr>
            <w:r>
              <w:rPr>
                <w:sz w:val="18"/>
                <w:szCs w:val="18"/>
              </w:rPr>
              <w:t xml:space="preserve">O=[N+]([O-])C=C([N+](=O)[O-])[N+](=O)[O-]</w:t>
            </w:r>
          </w:p>
        </w:tc>
        <w:tc>
          <w:tcPr>
            <w:vAlign w:val="center"/>
          </w:tcPr>
          <w:p>
            <w:pPr>
              <w:pStyle w:val="Compact"/>
              <w:suppressAutoHyphens/>
              <w:jc w:val="center"/>
            </w:pPr>
            <w:r>
              <w:rPr>
                <w:sz w:val="18"/>
                <w:szCs w:val="18"/>
              </w:rPr>
              <w:t xml:space="preserve">7</w:t>
            </w:r>
          </w:p>
        </w:tc>
        <w:tc>
          <w:tcPr>
            <w:vAlign w:val="center"/>
          </w:tcPr>
          <w:p>
            <w:pPr>
              <w:pStyle w:val="Compact"/>
              <w:suppressAutoHyphens/>
              <w:jc w:val="center"/>
            </w:pPr>
            <w:r>
              <w:rPr>
                <w:sz w:val="18"/>
                <w:szCs w:val="18"/>
              </w:rPr>
              <w:t xml:space="preserve">0.794</w:t>
            </w:r>
          </w:p>
        </w:tc>
      </w:tr>
    </w:tbl>
    <w:p>
      <w:pPr>
        <w:pStyle w:val="MDPI18keywords"/>
        <w:ind w:left="2608"/>
      </w:pPr>
      <w:r>
        <w:t xml:space="preserve">Top-1 detonation velocity is nearly invariant across the four conditions (9.44–9.53 km s</w:t>
      </w:r>
      <w:r>
        <w:rPr>
          <w:vertAlign w:val="superscript"/>
        </w:rPr>
        <w:t xml:space="preserve">−1</w:t>
      </w:r>
      <w:r>
        <w:t xml:space="preserve">);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so E1 is reproduced by two independent sampling routes.</w:t>
      </w:r>
    </w:p>
    <w:p>
      <w:pPr>
        <w:pStyle w:val="MDPI23heading3"/>
        <w:ind w:left="2608"/>
      </w:pPr>
      <w:r>
        <w:t xml:space="preserve">F.4 Per-head ablation (hazard, SA, seed-variance)</w:t>
      </w:r>
    </w:p>
    <w:p>
      <w:pPr>
        <w:pStyle w:val="MDPI18keywords"/>
        <w:ind w:left="2608"/>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Section 4.10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Supplementary Section B.4 for the full SA / SC drug-domain transfer-head story.)</w:t>
      </w:r>
    </w:p>
    <w:p>
      <w:pPr>
        <w:pStyle w:val="MDPI18keywords"/>
        <w:ind w:left="2608"/>
      </w:pPr>
      <w:r>
        <w:t xml:space="preserve">To put the Supplementary Section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MDPI41tablecaption"/>
        <w:ind w:left="2608"/>
      </w:pPr>
      <w:r>
        <w:rPr>
          <w:b/>
          <w:bCs/>
        </w:rPr>
        <w:t xml:space="preserve">Table S27.</w:t>
      </w:r>
      <w:r>
        <w:t xml:space="preserve"> </w:t>
      </w:r>
      <w:r>
        <w:t xml:space="preserve">DGLD multi-seed head-to-head at pool=10 000 per condition across hazard-axis (Hz-) and SA-axis (SA-) matrices, sharing the unguided Hz-C0 = SA-C0 cell. Bold row is the most-novel condition.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991"/>
        <w:gridCol w:w="1862"/>
        <w:gridCol w:w="731"/>
        <w:gridCol w:w="888"/>
        <w:gridCol w:w="792"/>
        <w:gridCol w:w="953"/>
        <w:gridCol w:w="641"/>
      </w:tblGrid>
      <w:tr>
        <w:trPr>
          <w:tblHeader w:val="on"/>
        </w:trPr>
        <w:tc>
          <w:tcPr>
            <w:tcBorders>
              <w:bottom w:val="single" w:sz="8" w:space="0" w:color="auto"/>
            </w:tcBorders>
            <w:vAlign w:val="center"/>
          </w:tcPr>
          <w:p>
            <w:pPr>
              <w:pStyle w:val="Compact"/>
              <w:suppressAutoHyphens/>
              <w:jc w:val="center"/>
            </w:pPr>
            <w:r>
              <w:rPr>
                <w:b/>
                <w:sz w:val="18"/>
                <w:szCs w:val="18"/>
              </w:rPr>
              <w:t xml:space="preserve">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r>
      <w:tr>
        <w:tc>
          <w:tcPr>
            <w:vAlign w:val="center"/>
          </w:tcPr>
          <w:p>
            <w:pPr>
              <w:pStyle w:val="Compact"/>
              <w:suppressAutoHyphens/>
              <w:jc w:val="center"/>
            </w:pPr>
            <w:r>
              <w:rPr>
                <w:sz w:val="18"/>
                <w:szCs w:val="18"/>
              </w:rPr>
              <w:t xml:space="preserve">DGLD SA-C1 viab-only</w:t>
            </w:r>
          </w:p>
        </w:tc>
        <w:tc>
          <w:tcPr>
            <w:vAlign w:val="center"/>
          </w:tcPr>
          <w:p>
            <w:pPr>
              <w:pStyle w:val="Compact"/>
              <w:suppressAutoHyphens/>
              <w:jc w:val="center"/>
            </w:pPr>
            <w:r>
              <w:rPr>
                <w:sz w:val="18"/>
                <w:szCs w:val="18"/>
              </w:rPr>
              <w:t xml:space="preserve">0.542</w:t>
            </w:r>
            <w:r>
              <w:rPr>
                <w:sz w:val="18"/>
                <w:szCs w:val="18"/>
              </w:rPr>
              <w:t xml:space="preserve"> </w:t>
            </w:r>
            <m:oMath>
              <m:r>
                <w:rPr>
                  <w:sz w:val="18"/>
                  <w:szCs w:val="18"/>
                </w:rPr>
                <m:rPr>
                  <m:sty m:val="p"/>
                </m:rPr>
                <m:t>±</m:t>
              </m:r>
            </m:oMath>
            <w:r>
              <w:rPr>
                <w:sz w:val="18"/>
                <w:szCs w:val="18"/>
              </w:rPr>
              <w:t xml:space="preserve"> </w:t>
            </w:r>
            <w:r>
              <w:rPr>
                <w:sz w:val="18"/>
                <w:szCs w:val="18"/>
              </w:rPr>
              <w:t xml:space="preserve">0.184</w:t>
            </w:r>
          </w:p>
        </w:tc>
        <w:tc>
          <w:tcPr>
            <w:vAlign w:val="center"/>
          </w:tcPr>
          <w:p>
            <w:pPr>
              <w:pStyle w:val="Compact"/>
              <w:suppressAutoHyphens/>
              <w:jc w:val="center"/>
            </w:pPr>
            <w:r>
              <w:rPr>
                <w:sz w:val="18"/>
                <w:szCs w:val="18"/>
              </w:rPr>
              <w:t xml:space="preserve">9.54</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39.8</w:t>
            </w:r>
            <w:r>
              <w:rPr>
                <w:sz w:val="18"/>
                <w:szCs w:val="18"/>
              </w:rPr>
              <w:t xml:space="preserve"> </w:t>
            </w:r>
            <m:oMath>
              <m:r>
                <w:rPr>
                  <w:sz w:val="18"/>
                  <w:szCs w:val="18"/>
                </w:rPr>
                <m:rPr>
                  <m:sty m:val="p"/>
                </m:rPr>
                <m:t>±</m:t>
              </m:r>
            </m:oMath>
            <w:r>
              <w:rPr>
                <w:sz w:val="18"/>
                <w:szCs w:val="18"/>
              </w:rPr>
              <w:t xml:space="preserve"> </w:t>
            </w:r>
            <w:r>
              <w:rPr>
                <w:sz w:val="18"/>
                <w:szCs w:val="18"/>
              </w:rPr>
              <w:t xml:space="preserve">0.5</w:t>
            </w:r>
          </w:p>
        </w:tc>
        <w:tc>
          <w:tcPr>
            <w:vAlign w:val="center"/>
          </w:tcPr>
          <w:p>
            <w:pPr>
              <w:pStyle w:val="Compact"/>
              <w:suppressAutoHyphens/>
              <w:jc w:val="center"/>
            </w:pPr>
            <w:r>
              <w:rPr>
                <w:sz w:val="18"/>
                <w:szCs w:val="18"/>
              </w:rPr>
              <w:t xml:space="preserve">0.63</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Hz-C1 viab+sens</w:t>
            </w:r>
          </w:p>
        </w:tc>
        <w:tc>
          <w:tcPr>
            <w:vAlign w:val="center"/>
          </w:tcPr>
          <w:p>
            <w:pPr>
              <w:pStyle w:val="Compact"/>
              <w:suppressAutoHyphens/>
              <w:jc w:val="center"/>
            </w:pPr>
            <w:r>
              <w:rPr>
                <w:sz w:val="18"/>
                <w:szCs w:val="18"/>
              </w:rPr>
              <w:t xml:space="preserve">0.613</w:t>
            </w:r>
            <w:r>
              <w:rPr>
                <w:sz w:val="18"/>
                <w:szCs w:val="18"/>
              </w:rPr>
              <w:t xml:space="preserve"> </w:t>
            </w:r>
            <m:oMath>
              <m:r>
                <w:rPr>
                  <w:sz w:val="18"/>
                  <w:szCs w:val="18"/>
                </w:rPr>
                <m:rPr>
                  <m:sty m:val="p"/>
                </m:rPr>
                <m:t>±</m:t>
              </m:r>
            </m:oMath>
            <w:r>
              <w:rPr>
                <w:sz w:val="18"/>
                <w:szCs w:val="18"/>
              </w:rPr>
              <w:t xml:space="preserve"> </w:t>
            </w:r>
            <w:r>
              <w:rPr>
                <w:sz w:val="18"/>
                <w:szCs w:val="18"/>
              </w:rPr>
              <w:t xml:space="preserve">0.106</w:t>
            </w:r>
          </w:p>
        </w:tc>
        <w:tc>
          <w:tcPr>
            <w:vAlign w:val="center"/>
          </w:tcPr>
          <w:p>
            <w:pPr>
              <w:pStyle w:val="Compact"/>
              <w:suppressAutoHyphens/>
              <w:jc w:val="center"/>
            </w:pPr>
            <w:r>
              <w:rPr>
                <w:sz w:val="18"/>
                <w:szCs w:val="18"/>
              </w:rPr>
              <w:t xml:space="preserve">9.36</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0.46</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SA-C2 viab+sens</w:t>
            </w:r>
          </w:p>
        </w:tc>
        <w:tc>
          <w:tcPr>
            <w:vAlign w:val="center"/>
          </w:tcPr>
          <w:p>
            <w:pPr>
              <w:pStyle w:val="Compact"/>
              <w:suppressAutoHyphens/>
              <w:jc w:val="center"/>
            </w:pPr>
            <w:r>
              <w:rPr>
                <w:sz w:val="18"/>
                <w:szCs w:val="18"/>
              </w:rPr>
              <w:t xml:space="preserve">0.618</w:t>
            </w:r>
            <w:r>
              <w:rPr>
                <w:sz w:val="18"/>
                <w:szCs w:val="18"/>
              </w:rPr>
              <w:t xml:space="preserve"> </w:t>
            </w:r>
            <m:oMath>
              <m:r>
                <w:rPr>
                  <w:sz w:val="18"/>
                  <w:szCs w:val="18"/>
                </w:rPr>
                <m:rPr>
                  <m:sty m:val="p"/>
                </m:rPr>
                <m:t>±</m:t>
              </m:r>
            </m:oMath>
            <w:r>
              <w:rPr>
                <w:sz w:val="18"/>
                <w:szCs w:val="18"/>
              </w:rPr>
              <w:t xml:space="preserve"> </w:t>
            </w:r>
            <w:r>
              <w:rPr>
                <w:sz w:val="18"/>
                <w:szCs w:val="18"/>
              </w:rPr>
              <w:t xml:space="preserve">0.056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38.5</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0.41</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r>
              <w:rPr>
                <w:sz w:val="18"/>
                <w:szCs w:val="18"/>
              </w:rPr>
              <w:t xml:space="preserve"> </w:t>
            </w:r>
            <w:r>
              <w:rPr>
                <w:sz w:val="18"/>
                <w:szCs w:val="18"/>
              </w:rPr>
              <w:t xml:space="preserve">(most novel)</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Hz-C3 hazard-only</w:t>
            </w:r>
          </w:p>
        </w:tc>
        <w:tc>
          <w:tcPr>
            <w:vAlign w:val="center"/>
          </w:tcPr>
          <w:p>
            <w:pPr>
              <w:pStyle w:val="Compact"/>
              <w:suppressAutoHyphens/>
              <w:jc w:val="center"/>
            </w:pPr>
            <w:r>
              <w:rPr>
                <w:sz w:val="18"/>
                <w:szCs w:val="18"/>
              </w:rPr>
              <w:t xml:space="preserve">0.503</w:t>
            </w:r>
            <w:r>
              <w:rPr>
                <w:sz w:val="18"/>
                <w:szCs w:val="18"/>
              </w:rPr>
              <w:t xml:space="preserve"> </w:t>
            </w:r>
            <m:oMath>
              <m:r>
                <w:rPr>
                  <w:sz w:val="18"/>
                  <w:szCs w:val="18"/>
                </w:rPr>
                <m:rPr>
                  <m:sty m:val="p"/>
                </m:rPr>
                <m:t>±</m:t>
              </m:r>
            </m:oMath>
            <w:r>
              <w:rPr>
                <w:sz w:val="18"/>
                <w:szCs w:val="18"/>
              </w:rPr>
              <w:t xml:space="preserve"> </w:t>
            </w:r>
            <w:r>
              <w:rPr>
                <w:sz w:val="18"/>
                <w:szCs w:val="18"/>
              </w:rPr>
              <w:t xml:space="preserve">0.131</w:t>
            </w:r>
          </w:p>
        </w:tc>
        <w:tc>
          <w:tcPr>
            <w:vAlign w:val="center"/>
          </w:tcPr>
          <w:p>
            <w:pPr>
              <w:pStyle w:val="Compact"/>
              <w:suppressAutoHyphens/>
              <w:jc w:val="center"/>
            </w:pPr>
            <w:r>
              <w:rPr>
                <w:sz w:val="18"/>
                <w:szCs w:val="18"/>
              </w:rPr>
              <w:t xml:space="preserve">9.32</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1.95</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38.8</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0.44</w:t>
            </w:r>
            <w:r>
              <w:rPr>
                <w:sz w:val="18"/>
                <w:szCs w:val="18"/>
              </w:rPr>
              <w:t xml:space="preserve"> </w:t>
            </w:r>
            <m:oMath>
              <m:r>
                <w:rPr>
                  <w:sz w:val="18"/>
                  <w:szCs w:val="18"/>
                </w:rPr>
                <m:rPr>
                  <m:sty m:val="p"/>
                </m:rPr>
                <m:t>±</m:t>
              </m:r>
            </m:oMath>
            <w:r>
              <w:rPr>
                <w:sz w:val="18"/>
                <w:szCs w:val="18"/>
              </w:rPr>
              <w:t xml:space="preserve"> </w:t>
            </w:r>
            <w:r>
              <w:rPr>
                <w:sz w:val="18"/>
                <w:szCs w:val="18"/>
              </w:rPr>
              <w:t xml:space="preserve">0.05</w:t>
            </w:r>
          </w:p>
        </w:tc>
        <w:tc>
          <w:tcPr>
            <w:vAlign w:val="center"/>
          </w:tcPr>
          <w:p>
            <w:pPr>
              <w:pStyle w:val="Compact"/>
              <w:suppressAutoHyphens/>
              <w:jc w:val="center"/>
            </w:pPr>
            <w:r>
              <w:rPr>
                <w:sz w:val="18"/>
                <w:szCs w:val="18"/>
              </w:rPr>
              <w:t xml:space="preserve">3</w:t>
            </w:r>
          </w:p>
        </w:tc>
      </w:tr>
      <w:tr>
        <w:tc>
          <w:tcPr>
            <w:vAlign w:val="center"/>
          </w:tcPr>
          <w:p>
            <w:pPr>
              <w:pStyle w:val="Compact"/>
              <w:suppressAutoHyphens/>
              <w:jc w:val="center"/>
            </w:pPr>
            <w:r>
              <w:rPr>
                <w:sz w:val="18"/>
                <w:szCs w:val="18"/>
              </w:rPr>
              <w:t xml:space="preserve">DGLD SA-C3 viab+sens+SA</w:t>
            </w:r>
          </w:p>
        </w:tc>
        <w:tc>
          <w:tcPr>
            <w:vAlign w:val="center"/>
          </w:tcPr>
          <w:p>
            <w:pPr>
              <w:pStyle w:val="Compact"/>
              <w:suppressAutoHyphens/>
              <w:jc w:val="center"/>
            </w:pPr>
            <w:r>
              <w:rPr>
                <w:sz w:val="18"/>
                <w:szCs w:val="18"/>
              </w:rPr>
              <w:t xml:space="preserve">0.698</w:t>
            </w:r>
            <w:r>
              <w:rPr>
                <w:sz w:val="18"/>
                <w:szCs w:val="18"/>
              </w:rPr>
              <w:t xml:space="preserve"> </w:t>
            </w:r>
            <m:oMath>
              <m:r>
                <w:rPr>
                  <w:sz w:val="18"/>
                  <w:szCs w:val="18"/>
                </w:rPr>
                <m:rPr>
                  <m:sty m:val="p"/>
                </m:rPr>
                <m:t>±</m:t>
              </m:r>
            </m:oMath>
            <w:r>
              <w:rPr>
                <w:sz w:val="18"/>
                <w:szCs w:val="18"/>
              </w:rPr>
              <w:t xml:space="preserve"> </w:t>
            </w:r>
            <w:r>
              <w:rPr>
                <w:sz w:val="18"/>
                <w:szCs w:val="18"/>
              </w:rPr>
              <w:t xml:space="preserve">0.015</w:t>
            </w:r>
          </w:p>
        </w:tc>
        <w:tc>
          <w:tcPr>
            <w:vAlign w:val="center"/>
          </w:tcPr>
          <w:p>
            <w:pPr>
              <w:pStyle w:val="Compact"/>
              <w:suppressAutoHyphens/>
              <w:jc w:val="center"/>
            </w:pPr>
            <w:r>
              <w:rPr>
                <w:sz w:val="18"/>
                <w:szCs w:val="18"/>
              </w:rPr>
              <w:t xml:space="preserve">9.34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1.94</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0.4</w:t>
            </w:r>
          </w:p>
        </w:tc>
        <w:tc>
          <w:tcPr>
            <w:vAlign w:val="center"/>
          </w:tcPr>
          <w:p>
            <w:pPr>
              <w:pStyle w:val="Compact"/>
              <w:suppressAutoHyphens/>
              <w:jc w:val="center"/>
            </w:pPr>
            <w:r>
              <w:rPr>
                <w:sz w:val="18"/>
                <w:szCs w:val="18"/>
              </w:rPr>
              <w:t xml:space="preserve">0.49</w:t>
            </w:r>
            <w:r>
              <w:rPr>
                <w:sz w:val="18"/>
                <w:szCs w:val="18"/>
              </w:rPr>
              <w:t xml:space="preserve"> </w:t>
            </w:r>
            <m:oMath>
              <m:r>
                <w:rPr>
                  <w:sz w:val="18"/>
                  <w:szCs w:val="18"/>
                </w:rPr>
                <m:rPr>
                  <m:sty m:val="p"/>
                </m:rPr>
                <m:t>±</m:t>
              </m:r>
            </m:oMath>
            <w:r>
              <w:rPr>
                <w:sz w:val="18"/>
                <w:szCs w:val="18"/>
              </w:rPr>
              <w:t xml:space="preserve"> </w:t>
            </w:r>
            <w:r>
              <w:rPr>
                <w:sz w:val="18"/>
                <w:szCs w:val="18"/>
              </w:rPr>
              <w:t xml:space="preserve">0.06</w:t>
            </w:r>
          </w:p>
        </w:tc>
        <w:tc>
          <w:tcPr>
            <w:vAlign w:val="center"/>
          </w:tcPr>
          <w:p>
            <w:pPr>
              <w:pStyle w:val="Compact"/>
              <w:suppressAutoHyphens/>
              <w:jc w:val="center"/>
            </w:pPr>
            <w:r>
              <w:rPr>
                <w:sz w:val="18"/>
                <w:szCs w:val="18"/>
              </w:rPr>
              <w:t xml:space="preserve">3</w:t>
            </w:r>
          </w:p>
        </w:tc>
      </w:tr>
    </w:tbl>
    <w:p>
      <w:pPr>
        <w:pStyle w:val="MDPI18keywords"/>
        <w:ind w:left="2608"/>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Supplementary Section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(Section 4.12). The 6-seed unguided pool gives the tightest mean (0.451</w:t>
      </w:r>
      <w:r>
        <w:t xml:space="preserve"> </w:t>
      </w:r>
      <m:oMath>
        <m:r>
          <m:rPr>
            <m:sty m:val="p"/>
          </m:rPr>
          <m:t>±</m:t>
        </m:r>
      </m:oMath>
      <w:r>
        <w:t xml:space="preserve"> </w:t>
      </w:r>
      <w:r>
        <w:t xml:space="preserve">0.126).</w:t>
      </w:r>
    </w:p>
    <w:p>
      <w:pPr>
        <w:pStyle w:val="MDPI18keywords"/>
        <w:ind w:left="2608"/>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 Supplementary Section D.6. As a complementary ablation on the same axis, Section 4.10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Supplementary Section D.12).</w:t>
      </w:r>
    </w:p>
    <w:p>
      <w:pPr>
        <w:pStyle w:val="MDPI23heading3"/>
        <w:ind w:left="2608"/>
      </w:pPr>
      <w:r>
        <w:t xml:space="preserve">F.5 M7 five-lane 100k-pool run</w:t>
      </w:r>
    </w:p>
    <w:p>
      <w:pPr>
        <w:pStyle w:val="MDPI18keywords"/>
        <w:ind w:left="2608"/>
      </w:pPr>
      <w:r>
        <w:t xml:space="preserve">The Supplementary Section F.3/Supplementary Section F.4 ablations each use pool = 10 000 per condition; Supplementary Section F.3 at pool = 40k uses a single lane per denoiser. To verify that pool-fusion continues to pay off beyond 40k, a 100k-pool M7 experiment ran five sampling lanes with seeds 3–4; the top-200 candidates were re-ranked by Section 4.13 composite.</w:t>
      </w:r>
    </w:p>
    <w:p>
      <w:pPr>
        <w:pStyle w:val="MDPI41tablecaption"/>
        <w:ind w:left="2608"/>
      </w:pPr>
      <w:r>
        <w:rPr>
          <w:b/>
          <w:bCs/>
        </w:rPr>
        <w:t xml:space="preserve">Table S28.</w:t>
      </w:r>
      <w:r>
        <w:t xml:space="preserve"> </w:t>
      </w:r>
      <w:r>
        <w:t xml:space="preserve">M7 five-lane 100k pool-fusion results vs the Supplementary Section F.3 single-lane 40k baseline. Pipeline keep-rate is n_validated / n_raw (Uni-Mol + composite filter). Diversity and scaffold count over the returned top-200.</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843"/>
        <w:gridCol w:w="718"/>
        <w:gridCol w:w="748"/>
        <w:gridCol w:w="669"/>
        <w:gridCol w:w="706"/>
        <w:gridCol w:w="681"/>
        <w:gridCol w:w="776"/>
        <w:gridCol w:w="984"/>
        <w:gridCol w:w="733"/>
      </w:tblGrid>
      <w:tr>
        <w:trPr>
          <w:tblHeader w:val="on"/>
        </w:trPr>
        <w:tc>
          <w:tcPr>
            <w:tcBorders>
              <w:bottom w:val="single" w:sz="8" w:space="0" w:color="auto"/>
            </w:tcBorders>
            <w:vAlign w:val="center"/>
          </w:tcPr>
          <w:p>
            <w:pPr>
              <w:pStyle w:val="Compact"/>
              <w:suppressAutoHyphens/>
              <w:jc w:val="center"/>
            </w:pPr>
            <w:r>
              <w:rPr>
                <w:b/>
                <w:sz w:val="18"/>
                <w:szCs w:val="18"/>
              </w:rPr>
              <w:t xml:space="preserve">Run</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n_pass</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Max</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Mean</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Scaffolds</w:t>
            </w:r>
          </w:p>
        </w:tc>
        <w:tc>
          <w:tcPr>
            <w:tcBorders>
              <w:bottom w:val="single" w:sz="8" w:space="0" w:color="auto"/>
            </w:tcBorders>
            <w:vAlign w:val="center"/>
          </w:tcPr>
          <w:p>
            <w:pPr>
              <w:pStyle w:val="Compact"/>
              <w:suppressAutoHyphens/>
              <w:jc w:val="center"/>
            </w:pPr>
            <w:r>
              <w:rPr>
                <w:b/>
                <w:sz w:val="18"/>
                <w:szCs w:val="18"/>
              </w:rPr>
              <w:t xml:space="preserve">IntDiv</w:t>
            </w:r>
          </w:p>
        </w:tc>
      </w:tr>
      <w:tr>
        <w:tc>
          <w:tcPr>
            <w:vAlign w:val="center"/>
          </w:tcPr>
          <w:p>
            <w:pPr>
              <w:pStyle w:val="Compact"/>
              <w:suppressAutoHyphens/>
              <w:jc w:val="center"/>
            </w:pPr>
            <w:r>
              <w:rPr>
                <w:sz w:val="18"/>
                <w:szCs w:val="18"/>
              </w:rPr>
              <w:t xml:space="preserve">Single-lane 40k (Supplementary Section F.3)</w:t>
            </w:r>
          </w:p>
        </w:tc>
        <w:tc>
          <w:tcPr>
            <w:vAlign w:val="center"/>
          </w:tcPr>
          <w:p>
            <w:pPr>
              <w:pStyle w:val="Compact"/>
              <w:suppressAutoHyphens/>
              <w:jc w:val="center"/>
            </w:pPr>
            <w:r>
              <w:rPr>
                <w:sz w:val="18"/>
                <w:szCs w:val="18"/>
              </w:rPr>
              <w:t xml:space="preserve">40 000</w:t>
            </w:r>
          </w:p>
        </w:tc>
        <w:tc>
          <w:tcPr>
            <w:vAlign w:val="center"/>
          </w:tcPr>
          <w:p>
            <w:pPr>
              <w:pStyle w:val="Compact"/>
              <w:suppressAutoHyphens/>
              <w:jc w:val="center"/>
            </w:pPr>
            <w:r>
              <w:rPr>
                <w:sz w:val="18"/>
                <w:szCs w:val="18"/>
              </w:rPr>
              <w:t xml:space="preserve">966</w:t>
            </w:r>
          </w:p>
        </w:tc>
        <w:tc>
          <w:tcPr>
            <w:vAlign w:val="center"/>
          </w:tcPr>
          <w:p>
            <w:pPr>
              <w:pStyle w:val="Compact"/>
              <w:suppressAutoHyphens/>
              <w:jc w:val="center"/>
            </w:pPr>
            <w:r>
              <w:rPr>
                <w:sz w:val="18"/>
                <w:szCs w:val="18"/>
              </w:rPr>
              <w:t xml:space="preserve">2.4 %</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9.51</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r>
      <w:tr>
        <w:tc>
          <w:tcPr>
            <w:vAlign w:val="center"/>
          </w:tcPr>
          <w:p>
            <w:pPr>
              <w:pStyle w:val="Compact"/>
              <w:suppressAutoHyphens/>
              <w:jc w:val="center"/>
            </w:pPr>
            <w:r>
              <w:rPr>
                <w:b/>
                <w:bCs/>
                <w:sz w:val="18"/>
                <w:szCs w:val="18"/>
              </w:rPr>
              <w:t xml:space="preserve">M7 five-lane 100k</w:t>
            </w:r>
          </w:p>
        </w:tc>
        <w:tc>
          <w:tcPr>
            <w:vAlign w:val="center"/>
          </w:tcPr>
          <w:p>
            <w:pPr>
              <w:pStyle w:val="Compact"/>
              <w:suppressAutoHyphens/>
              <w:jc w:val="center"/>
            </w:pPr>
            <w:r>
              <w:rPr>
                <w:sz w:val="18"/>
                <w:szCs w:val="18"/>
              </w:rPr>
              <w:t xml:space="preserve">100 000</w:t>
            </w:r>
          </w:p>
        </w:tc>
        <w:tc>
          <w:tcPr>
            <w:vAlign w:val="center"/>
          </w:tcPr>
          <w:p>
            <w:pPr>
              <w:pStyle w:val="Compact"/>
              <w:suppressAutoHyphens/>
              <w:jc w:val="center"/>
            </w:pPr>
            <w:r>
              <w:rPr>
                <w:sz w:val="18"/>
                <w:szCs w:val="18"/>
              </w:rPr>
              <w:t xml:space="preserve">4 639</w:t>
            </w:r>
          </w:p>
        </w:tc>
        <w:tc>
          <w:tcPr>
            <w:vAlign w:val="center"/>
          </w:tcPr>
          <w:p>
            <w:pPr>
              <w:pStyle w:val="Compact"/>
              <w:suppressAutoHyphens/>
              <w:jc w:val="center"/>
            </w:pPr>
            <w:r>
              <w:rPr>
                <w:sz w:val="18"/>
                <w:szCs w:val="18"/>
              </w:rPr>
              <w:t xml:space="preserve">4.6 %</w:t>
            </w:r>
          </w:p>
        </w:tc>
        <w:tc>
          <w:tcPr>
            <w:vAlign w:val="center"/>
          </w:tcPr>
          <w:p>
            <w:pPr>
              <w:pStyle w:val="Compact"/>
              <w:suppressAutoHyphens/>
              <w:jc w:val="center"/>
            </w:pPr>
            <w:r>
              <w:rPr>
                <w:b/>
                <w:bCs/>
                <w:sz w:val="18"/>
                <w:szCs w:val="18"/>
              </w:rPr>
              <w:t xml:space="preserve">9.47</w:t>
            </w:r>
          </w:p>
        </w:tc>
        <w:tc>
          <w:tcPr>
            <w:vAlign w:val="center"/>
          </w:tcPr>
          <w:p>
            <w:pPr>
              <w:pStyle w:val="Compact"/>
              <w:suppressAutoHyphens/>
              <w:jc w:val="center"/>
            </w:pPr>
            <w:r>
              <w:rPr>
                <w:b/>
                <w:bCs/>
                <w:sz w:val="18"/>
                <w:szCs w:val="18"/>
              </w:rPr>
              <w:t xml:space="preserve">9.79</w:t>
            </w:r>
          </w:p>
        </w:tc>
        <w:tc>
          <w:tcPr>
            <w:vAlign w:val="center"/>
          </w:tcPr>
          <w:p>
            <w:pPr>
              <w:pStyle w:val="Compact"/>
              <w:suppressAutoHyphens/>
              <w:jc w:val="center"/>
            </w:pPr>
            <w:r>
              <w:rPr>
                <w:b/>
                <w:bCs/>
                <w:sz w:val="18"/>
                <w:szCs w:val="18"/>
              </w:rPr>
              <w:t xml:space="preserve">9.03</w:t>
            </w:r>
          </w:p>
        </w:tc>
        <w:tc>
          <w:tcPr>
            <w:vAlign w:val="center"/>
          </w:tcPr>
          <w:p>
            <w:pPr>
              <w:pStyle w:val="Compact"/>
              <w:suppressAutoHyphens/>
              <w:jc w:val="center"/>
            </w:pPr>
            <w:r>
              <w:rPr>
                <w:b/>
                <w:bCs/>
                <w:sz w:val="18"/>
                <w:szCs w:val="18"/>
              </w:rPr>
              <w:t xml:space="preserve">24</w:t>
            </w:r>
          </w:p>
        </w:tc>
        <w:tc>
          <w:tcPr>
            <w:vAlign w:val="center"/>
          </w:tcPr>
          <w:p>
            <w:pPr>
              <w:pStyle w:val="Compact"/>
              <w:suppressAutoHyphens/>
              <w:jc w:val="center"/>
            </w:pPr>
            <w:r>
              <w:rPr>
                <w:b/>
                <w:bCs/>
                <w:sz w:val="18"/>
                <w:szCs w:val="18"/>
              </w:rPr>
              <w:t xml:space="preserve">0.81</w:t>
            </w:r>
          </w:p>
        </w:tc>
      </w:tr>
    </w:tbl>
    <w:p>
      <w:pPr>
        <w:pStyle w:val="MDPI18keywords"/>
        <w:ind w:left="2608"/>
      </w:pPr>
      <w:r>
        <w:t xml:space="preserve">The five-lane fusion nearly doubles the keep rate (4.6 % vs 2.4 %, 1.92×) and nearly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 s</w:t>
      </w:r>
      <w:r>
        <w:rPr>
          <w:vertAlign w:val="superscript"/>
        </w:rPr>
        <w:t xml:space="preserve">−1</w:t>
      </w:r>
      <w:r>
        <w:t xml:space="preserve"> </w:t>
      </w:r>
      <w:r>
        <w:t xml:space="preserve">(within 0.04 km s</w:t>
      </w:r>
      <w:r>
        <w:rPr>
          <w:vertAlign w:val="superscript"/>
        </w:rPr>
        <w:t xml:space="preserve">−1</w:t>
      </w:r>
      <w:r>
        <w:t xml:space="preserve"> </w:t>
      </w:r>
      <w:r>
        <w:t xml:space="preserve">of the single-lane best), while max</w:t>
      </w:r>
      <w:r>
        <w:t xml:space="preserve"> </w:t>
      </w:r>
      <m:oMath>
        <m:r>
          <m:t>D</m:t>
        </m:r>
      </m:oMath>
      <w:r>
        <w:t xml:space="preserve"> </w:t>
      </w:r>
      <w:r>
        <w:t xml:space="preserve">rises to 9.79 km s</w:t>
      </w:r>
      <w:r>
        <w:rPr>
          <w:vertAlign w:val="superscript"/>
        </w:rPr>
        <w:t xml:space="preserve">−1</w:t>
      </w:r>
      <w:r>
        <w:t xml:space="preserve">.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p>
      <w:pPr>
        <w:pStyle w:val="MDPI23heading3"/>
        <w:ind w:left="2608"/>
      </w:pPr>
      <w:r>
        <w:t xml:space="preserve">F.6 Tier-gate ablation (perf head trained without label-trust masking)</w:t>
      </w:r>
    </w:p>
    <w:p>
      <w:pPr>
        <w:pStyle w:val="MDPI18keywords"/>
        <w:ind w:left="2608"/>
      </w:pPr>
      <w:r>
        <w:t xml:space="preserve">The tier-gated training recipe (Section 4.7, Section 4.9) masks the performance head from Tier-C/D rows during training, preventing low-confidence empirical-formula and Uni-Mol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MDPI41tablecaption"/>
        <w:ind w:left="2608"/>
      </w:pPr>
      <w:r>
        <w:rPr>
          <w:b/>
          <w:bCs/>
        </w:rPr>
        <w:t xml:space="preserve">Table S29.</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1"/>
        <w:gridCol w:w="726"/>
        <w:gridCol w:w="1094"/>
        <w:gridCol w:w="700"/>
        <w:gridCol w:w="691"/>
        <w:gridCol w:w="2322"/>
        <w:gridCol w:w="774"/>
      </w:tblGrid>
      <w:tr>
        <w:trPr>
          <w:tblHeader w:val="on"/>
        </w:trPr>
        <w:tc>
          <w:tcPr>
            <w:tcBorders>
              <w:bottom w:val="single" w:sz="8" w:space="0" w:color="auto"/>
            </w:tcBorders>
            <w:vAlign w:val="center"/>
          </w:tcPr>
          <w:p>
            <w:pPr>
              <w:pStyle w:val="Compact"/>
              <w:suppressAutoHyphens/>
              <w:jc w:val="center"/>
            </w:pPr>
            <w:r>
              <w:rPr>
                <w:b/>
                <w:sz w:val="18"/>
                <w:szCs w:val="18"/>
              </w:rPr>
              <w:t xml:space="preserve">Training</w:t>
            </w:r>
          </w:p>
        </w:tc>
        <w:tc>
          <w:tcPr>
            <w:tcBorders>
              <w:bottom w:val="single" w:sz="8" w:space="0" w:color="auto"/>
            </w:tcBorders>
            <w:vAlign w:val="center"/>
          </w:tcPr>
          <w:p>
            <w:pPr>
              <w:pStyle w:val="Compact"/>
              <w:suppressAutoHyphens/>
              <w:jc w:val="center"/>
            </w:pPr>
            <w:r>
              <w:rPr>
                <w:b/>
                <w:sz w:val="18"/>
                <w:szCs w:val="18"/>
              </w:rPr>
              <w:t xml:space="preserve">n_raw</w:t>
            </w:r>
          </w:p>
        </w:tc>
        <w:tc>
          <w:tcPr>
            <w:tcBorders>
              <w:bottom w:val="single" w:sz="8" w:space="0" w:color="auto"/>
            </w:tcBorders>
            <w:vAlign w:val="center"/>
          </w:tcPr>
          <w:p>
            <w:pPr>
              <w:pStyle w:val="Compact"/>
              <w:suppressAutoHyphens/>
              <w:jc w:val="center"/>
            </w:pPr>
            <w:r>
              <w:rPr>
                <w:b/>
                <w:sz w:val="18"/>
                <w:szCs w:val="18"/>
              </w:rPr>
              <w:t xml:space="preserve">n_feasible</w:t>
            </w:r>
          </w:p>
        </w:tc>
        <w:tc>
          <w:tcPr>
            <w:tcBorders>
              <w:bottom w:val="single" w:sz="8" w:space="0" w:color="auto"/>
            </w:tcBorders>
            <w:vAlign w:val="center"/>
          </w:tcPr>
          <w:p>
            <w:pPr>
              <w:pStyle w:val="Compact"/>
              <w:suppressAutoHyphens/>
              <w:jc w:val="center"/>
            </w:pPr>
            <w:r>
              <w:rPr>
                <w:b/>
                <w:sz w:val="18"/>
                <w:szCs w:val="18"/>
              </w:rPr>
              <w:t xml:space="preserve">Keep rate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sSub>
                <m:e>
                  <m:r>
                    <w:rPr>
                      <w:sz w:val="18"/>
                      <w:szCs w:val="18"/>
                    </w:rPr>
                    <m:t>f</m:t>
                  </m:r>
                </m:e>
                <m:sub>
                  <m:r>
                    <w:rPr>
                      <w:sz w:val="18"/>
                      <w:szCs w:val="18"/>
                    </w:rPr>
                    <m:t>N</m:t>
                  </m:r>
                </m:sub>
              </m:sSub>
            </m:oMath>
          </w:p>
        </w:tc>
        <w:tc>
          <w:tcPr>
            <w:tcBorders>
              <w:bottom w:val="single" w:sz="8" w:space="0" w:color="auto"/>
            </w:tcBorders>
            <w:vAlign w:val="center"/>
          </w:tcPr>
          <w:p>
            <w:pPr>
              <w:pStyle w:val="Compact"/>
              <w:suppressAutoHyphens/>
              <w:jc w:val="center"/>
            </w:pPr>
            <w:r>
              <w:rPr>
                <w:b/>
                <w:sz w:val="18"/>
                <w:szCs w:val="18"/>
              </w:rPr>
              <w:t xml:space="preserve">Top-1 SMILES</w:t>
            </w:r>
          </w:p>
        </w:tc>
        <w:tc>
          <w:tcPr>
            <w:tcBorders>
              <w:bottom w:val="single" w:sz="8" w:space="0" w:color="auto"/>
            </w:tcBorders>
            <w:vAlign w:val="center"/>
          </w:tcPr>
          <w:p>
            <w:pPr>
              <w:pStyle w:val="Compact"/>
              <w:suppressAutoHyphens/>
              <w:jc w:val="center"/>
            </w:pPr>
            <w:r>
              <w:rPr>
                <w:b/>
                <w:sz w:val="18"/>
                <w:szCs w:val="18"/>
              </w:rPr>
              <w:t xml:space="preserve">Best val loss</w:t>
            </w:r>
          </w:p>
        </w:tc>
      </w:tr>
      <w:tr>
        <w:tc>
          <w:tcPr>
            <w:vAlign w:val="center"/>
          </w:tcPr>
          <w:p>
            <w:pPr>
              <w:pStyle w:val="Compact"/>
              <w:suppressAutoHyphens/>
              <w:jc w:val="center"/>
            </w:pPr>
            <w:r>
              <w:rPr>
                <w:sz w:val="18"/>
                <w:szCs w:val="18"/>
              </w:rPr>
              <w:t xml:space="preserve">Production (tier-gate on, Section 4.7)</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see Supplementary Section F.3 (Uni-Mol-ranked)</w:t>
            </w:r>
          </w:p>
        </w:tc>
        <w:tc>
          <w:tcPr>
            <w:vAlign w:val="center"/>
          </w:tcPr>
          <w:p>
            <w:pPr>
              <w:pStyle w:val="Compact"/>
              <w:suppressAutoHyphens/>
              <w:jc w:val="center"/>
            </w:pPr>
            <w:r>
              <w:rPr>
                <w:sz w:val="18"/>
                <w:szCs w:val="18"/>
              </w:rPr>
              <w:t xml:space="preserve">1.089</w:t>
            </w:r>
          </w:p>
        </w:tc>
      </w:tr>
      <w:tr>
        <w:tc>
          <w:tcPr>
            <w:vAlign w:val="center"/>
          </w:tcPr>
          <w:p>
            <w:pPr>
              <w:pStyle w:val="Compact"/>
              <w:suppressAutoHyphens/>
              <w:jc w:val="center"/>
            </w:pPr>
            <w:r>
              <w:rPr>
                <w:b/>
                <w:bCs/>
                <w:sz w:val="18"/>
                <w:szCs w:val="18"/>
              </w:rPr>
              <w:t xml:space="preserve">No tier-gate</w:t>
            </w:r>
            <w:r>
              <w:rPr>
                <w:sz w:val="18"/>
                <w:szCs w:val="18"/>
              </w:rPr>
              <w:t xml:space="preserve"> </w:t>
            </w:r>
            <w:r>
              <w:rPr>
                <w:sz w:val="18"/>
                <w:szCs w:val="18"/>
              </w:rPr>
              <w:t xml:space="preserve">(ablation)</w:t>
            </w:r>
          </w:p>
        </w:tc>
        <w:tc>
          <w:tcPr>
            <w:vAlign w:val="center"/>
          </w:tcPr>
          <w:p>
            <w:pPr>
              <w:pStyle w:val="Compact"/>
              <w:suppressAutoHyphens/>
              <w:jc w:val="center"/>
            </w:pPr>
            <w:r>
              <w:rPr>
                <w:sz w:val="18"/>
                <w:szCs w:val="18"/>
              </w:rPr>
              <w:t xml:space="preserve">20 000</w:t>
            </w:r>
          </w:p>
        </w:tc>
        <w:tc>
          <w:tcPr>
            <w:vAlign w:val="center"/>
          </w:tcPr>
          <w:p>
            <w:pPr>
              <w:pStyle w:val="Compact"/>
              <w:suppressAutoHyphens/>
              <w:jc w:val="center"/>
            </w:pPr>
            <w:r>
              <w:rPr>
                <w:sz w:val="18"/>
                <w:szCs w:val="18"/>
              </w:rPr>
              <w:t xml:space="preserve">10 773</w:t>
            </w:r>
          </w:p>
        </w:tc>
        <w:tc>
          <w:tcPr>
            <w:vAlign w:val="center"/>
          </w:tcPr>
          <w:p>
            <w:pPr>
              <w:pStyle w:val="Compact"/>
              <w:suppressAutoHyphens/>
              <w:jc w:val="center"/>
            </w:pPr>
            <w:r>
              <w:rPr>
                <w:sz w:val="18"/>
                <w:szCs w:val="18"/>
              </w:rPr>
              <w:t xml:space="preserve">53.9 %</w:t>
            </w:r>
          </w:p>
        </w:tc>
        <w:tc>
          <w:tcPr>
            <w:vAlign w:val="center"/>
          </w:tcPr>
          <w:p>
            <w:pPr>
              <w:pStyle w:val="Compact"/>
              <w:suppressAutoHyphens/>
              <w:jc w:val="center"/>
            </w:pPr>
            <w:r>
              <w:rPr>
                <w:sz w:val="18"/>
                <w:szCs w:val="18"/>
              </w:rPr>
              <w:t xml:space="preserve">0.667</w:t>
            </w:r>
          </w:p>
        </w:tc>
        <w:tc>
          <w:tcPr>
            <w:vAlign w:val="center"/>
          </w:tcPr>
          <w:p>
            <w:pPr>
              <w:pStyle w:val="Compact"/>
              <w:suppressAutoHyphens/>
              <w:jc w:val="center"/>
            </w:pPr>
            <w:r>
              <w:rPr>
                <w:rStyle w:val="VerbatimChar"/>
                <w:sz w:val="18"/>
                <w:szCs w:val="18"/>
              </w:rPr>
              <w:t xml:space="preserve">[N+][N+]([O-])NC(=N)N[N+]=O</w:t>
            </w:r>
          </w:p>
        </w:tc>
        <w:tc>
          <w:tcPr>
            <w:vAlign w:val="center"/>
          </w:tcPr>
          <w:p>
            <w:pPr>
              <w:pStyle w:val="Compact"/>
              <w:suppressAutoHyphens/>
              <w:jc w:val="center"/>
            </w:pPr>
            <w:r>
              <w:rPr>
                <w:sz w:val="18"/>
                <w:szCs w:val="18"/>
              </w:rPr>
              <w:t xml:space="preserve">1.178</w:t>
            </w:r>
          </w:p>
        </w:tc>
      </w:tr>
    </w:tbl>
    <w:p>
      <w:pPr>
        <w:pStyle w:val="MDPI18keywords"/>
        <w:ind w:left="2608"/>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p>
      <w:pPr>
        <w:pStyle w:val="MDPI21heading1"/>
        <w:ind w:left="2608"/>
      </w:pPr>
      <w:r>
        <w:t xml:space="preserve">References</w:t>
      </w:r>
    </w:p>
    <w:p>
      <w:pPr>
        <w:pStyle w:val="MDPI81references"/>
        <w:numPr>
          <w:ilvl w:val="0"/>
          <w:numId w:val="0"/>
        </w:numPr>
        <w:ind w:left="180" w:hanging="180"/>
      </w:pPr>
      <w:bookmarkStart w:id="4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Supplementary Section A.1.</w:t>
      </w:r>
      <w:bookmarkEnd w:id="47"/>
    </w:p>
    <w:p>
      <w:pPr>
        <w:pStyle w:val="MDPI81references"/>
        <w:numPr>
          <w:ilvl w:val="0"/>
          <w:numId w:val="0"/>
        </w:numPr>
        <w:ind w:left="180" w:hanging="180"/>
      </w:pPr>
      <w:bookmarkStart w:id="48"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48"/>
    </w:p>
    <w:p>
      <w:pPr>
        <w:pStyle w:val="MDPI81references"/>
        <w:numPr>
          <w:ilvl w:val="0"/>
          <w:numId w:val="0"/>
        </w:numPr>
        <w:ind w:left="180" w:hanging="180"/>
      </w:pPr>
      <w:bookmarkStart w:id="49"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49"/>
    </w:p>
    <w:p>
      <w:pPr>
        <w:pStyle w:val="MDPI81references"/>
        <w:numPr>
          <w:ilvl w:val="0"/>
          <w:numId w:val="0"/>
        </w:numPr>
        <w:ind w:left="180" w:hanging="180"/>
      </w:pPr>
      <w:bookmarkStart w:id="5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50"/>
    </w:p>
    <w:p>
      <w:pPr>
        <w:pStyle w:val="MDPI81references"/>
        <w:numPr>
          <w:ilvl w:val="0"/>
          <w:numId w:val="0"/>
        </w:numPr>
        <w:ind w:left="180" w:hanging="180"/>
      </w:pPr>
      <w:bookmarkStart w:id="5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51"/>
    </w:p>
    <w:p>
      <w:pPr>
        <w:pStyle w:val="MDPI81references"/>
        <w:numPr>
          <w:ilvl w:val="0"/>
          <w:numId w:val="0"/>
        </w:numPr>
        <w:ind w:left="180" w:hanging="180"/>
      </w:pPr>
      <w:bookmarkStart w:id="52" w:name="ref-sterling2015zinc"/>
      <w:r>
        <w:t xml:space="preserve">Sterling, T., &amp; Irwin, J. J. (2015). ZINC 15: Ligand Discovery for Everyone.</w:t>
      </w:r>
      <w:r>
        <w:t xml:space="preserve"> </w:t>
      </w:r>
      <w:r>
        <w:rPr>
          <w:i/>
          <w:iCs/>
        </w:rPr>
        <w:t xml:space="preserve">J. Chem. Inf. Model. 55(11)</w:t>
      </w:r>
      <w:r>
        <w:t xml:space="preserve">:2324–2337.</w:t>
      </w:r>
      <w:bookmarkEnd w:id="52"/>
    </w:p>
    <w:p>
      <w:pPr>
        <w:pStyle w:val="MDPI81references"/>
        <w:numPr>
          <w:ilvl w:val="0"/>
          <w:numId w:val="0"/>
        </w:numPr>
        <w:ind w:left="180" w:hanging="180"/>
      </w:pPr>
      <w:bookmarkStart w:id="54" w:name="ref-cameo"/>
      <w:r>
        <w:t xml:space="preserve">NIST CAMEO Chemicals: Database of Hazardous Materials and Reactivity.</w:t>
      </w:r>
      <w:r>
        <w:t xml:space="preserve"> </w:t>
      </w:r>
      <w:hyperlink r:id="rId23">
        <w:r>
          <w:rPr>
            <w:rStyle w:val="Hyperlink"/>
          </w:rPr>
          <w:t xml:space="preserve">cameochemicals.noaa.gov</w:t>
        </w:r>
      </w:hyperlink>
      <w:r>
        <w:t xml:space="preserve">.</w:t>
      </w:r>
      <w:bookmarkEnd w:id="54"/>
    </w:p>
    <w:p>
      <w:pPr>
        <w:pStyle w:val="MDPI81references"/>
        <w:numPr>
          <w:ilvl w:val="0"/>
          <w:numId w:val="0"/>
        </w:numPr>
        <w:ind w:left="180" w:hanging="180"/>
      </w:pPr>
      <w:bookmarkStart w:id="55"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55"/>
    </w:p>
    <w:p>
      <w:pPr>
        <w:pStyle w:val="MDPI81references"/>
        <w:numPr>
          <w:ilvl w:val="0"/>
          <w:numId w:val="0"/>
        </w:numPr>
        <w:ind w:left="180" w:hanging="180"/>
      </w:pPr>
      <w:bookmarkStart w:id="56" w:name="ref-klapotke2017nitrogen"/>
      <w:r>
        <w:t xml:space="preserve">Klapötke, T. M.</w:t>
      </w:r>
      <w:r>
        <w:t xml:space="preserve"> </w:t>
      </w:r>
      <w:r>
        <w:rPr>
          <w:i/>
          <w:iCs/>
        </w:rPr>
        <w:t xml:space="preserve">Chemistry of High-Energy Materials</w:t>
      </w:r>
      <w:r>
        <w:t xml:space="preserve">, 5th ed. (de Gruyter, 2019). doi:10.1515/9783110624571.</w:t>
      </w:r>
      <w:bookmarkEnd w:id="56"/>
    </w:p>
    <w:p>
      <w:pPr>
        <w:pStyle w:val="MDPI81references"/>
        <w:numPr>
          <w:ilvl w:val="0"/>
          <w:numId w:val="0"/>
        </w:numPr>
        <w:ind w:left="180" w:hanging="180"/>
      </w:pPr>
      <w:bookmarkStart w:id="57" w:name="ref-kim2023pubchem"/>
      <w:r>
        <w:t xml:space="preserve">Kim, S. et al. (2023). PubChem 2023 Update.</w:t>
      </w:r>
      <w:r>
        <w:t xml:space="preserve"> </w:t>
      </w:r>
      <w:r>
        <w:rPr>
          <w:i/>
          <w:iCs/>
        </w:rPr>
        <w:t xml:space="preserve">Nucleic Acids Res. 51(D1)</w:t>
      </w:r>
      <w:r>
        <w:t xml:space="preserve">:D1373–D1380.</w:t>
      </w:r>
      <w:bookmarkEnd w:id="57"/>
    </w:p>
    <w:p>
      <w:pPr>
        <w:pStyle w:val="MDPI81references"/>
        <w:numPr>
          <w:ilvl w:val="0"/>
          <w:numId w:val="0"/>
        </w:numPr>
        <w:ind w:left="180" w:hanging="180"/>
      </w:pPr>
      <w:bookmarkStart w:id="58"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58"/>
    </w:p>
    <w:p>
      <w:pPr>
        <w:pStyle w:val="MDPI81references"/>
        <w:numPr>
          <w:ilvl w:val="0"/>
          <w:numId w:val="0"/>
        </w:numPr>
        <w:ind w:left="180" w:hanging="180"/>
      </w:pPr>
      <w:bookmarkStart w:id="59"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59"/>
    </w:p>
    <w:p>
      <w:pPr>
        <w:pStyle w:val="MDPI81references"/>
        <w:numPr>
          <w:ilvl w:val="0"/>
          <w:numId w:val="0"/>
        </w:numPr>
        <w:ind w:left="180" w:hanging="180"/>
      </w:pPr>
      <w:bookmarkStart w:id="60"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60"/>
    </w:p>
    <w:p>
      <w:pPr>
        <w:pStyle w:val="MDPI81references"/>
        <w:numPr>
          <w:ilvl w:val="0"/>
          <w:numId w:val="0"/>
        </w:numPr>
        <w:ind w:left="180" w:hanging="180"/>
      </w:pPr>
      <w:bookmarkStart w:id="61" w:name="ref-bondi1964vdw"/>
      <w:r>
        <w:t xml:space="preserve">Bondi, A. (1964). van der Waals Volumes and Radii.</w:t>
      </w:r>
      <w:r>
        <w:t xml:space="preserve"> </w:t>
      </w:r>
      <w:r>
        <w:rPr>
          <w:i/>
          <w:iCs/>
        </w:rPr>
        <w:t xml:space="preserve">J. Phys. Chem. 68(3)</w:t>
      </w:r>
      <w:r>
        <w:t xml:space="preserve">:441–451. doi:10.1021/j100785a001.</w:t>
      </w:r>
      <w:bookmarkEnd w:id="61"/>
    </w:p>
    <w:p>
      <w:pPr>
        <w:pStyle w:val="MDPI81references"/>
        <w:numPr>
          <w:ilvl w:val="0"/>
          <w:numId w:val="0"/>
        </w:numPr>
        <w:ind w:left="180" w:hanging="180"/>
      </w:pPr>
      <w:bookmarkStart w:id="62"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62"/>
    </w:p>
    <w:p>
      <w:pPr>
        <w:pStyle w:val="MDPI81references"/>
        <w:numPr>
          <w:ilvl w:val="0"/>
          <w:numId w:val="0"/>
        </w:numPr>
        <w:ind w:left="180" w:hanging="180"/>
      </w:pPr>
      <w:bookmarkStart w:id="6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63"/>
    </w:p>
    <w:p>
      <w:pPr>
        <w:pStyle w:val="MDPI81references"/>
        <w:numPr>
          <w:ilvl w:val="0"/>
          <w:numId w:val="0"/>
        </w:numPr>
        <w:ind w:left="180" w:hanging="180"/>
      </w:pPr>
      <w:bookmarkStart w:id="6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64"/>
    </w:p>
    <w:p>
      <w:pPr>
        <w:pStyle w:val="MDPI81references"/>
        <w:numPr>
          <w:ilvl w:val="0"/>
          <w:numId w:val="0"/>
        </w:numPr>
        <w:ind w:left="180" w:hanging="180"/>
      </w:pPr>
      <w:bookmarkStart w:id="65"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65"/>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hyperlink" Target="https://github.com/grimme-lab/xtb" TargetMode="External"/><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cameochemicals.noaa.gov"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