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10" w:name="Xab1f6d3bd6fdeece2a947672b17ee0276db1e5a"/>
    <w:p>
      <w:pPr>
        <w:pStyle w:val="Title"/>
        <w:spacing w:before="0" w:after="160"/>
        <w:jc w:val="center"/>
        <w:keepNext/>
        <w:keepLines/>
        <w:widowControl w:val="1"/>
      </w:pPr>
      <w:r>
        <w:t xml:space="preserve">Domain-gated latent diffusion discovers novel HMX-class energetic materials with first-principles validation</w:t>
      </w:r>
    </w:p>
    <w:p>
      <w:pPr>
        <w:pStyle w:val="Subtitle"/>
        <w:spacing w:before="0" w:after="40"/>
        <w:jc w:val="center"/>
        <w:keepNext/>
        <w:keepLines/>
        <w:widowControl w:val="1"/>
      </w:pPr>
      <w:r>
        <w:t xml:space="preserve">Yehudit Aperstein</w:t>
      </w:r>
      <w:r>
        <w:rPr>
          <w:vertAlign w:val="superscript"/>
        </w:rPr>
        <w:t xml:space="preserve">1,*</w:t>
      </w:r>
      <w:r>
        <w:t xml:space="preserve">, Alexander Apartsin</w:t>
      </w:r>
      <w:r>
        <w:rPr>
          <w:vertAlign w:val="superscript"/>
        </w:rPr>
        <w:t xml:space="preserve">2,*</w:t>
      </w:r>
    </w:p>
    <w:p>
      <w:pPr>
        <w:pStyle w:val="Subtitle"/>
        <w:spacing w:before="0" w:after="160"/>
        <w:jc w:val="center"/>
        <w:keepNext w:val="0"/>
        <w:keepLines/>
        <w:widowControl w:val="1"/>
      </w:pPr>
      <w:r>
        <w:rPr>
          <w:sz w:val="20"/>
          <w:vertAlign w:val="superscript"/>
        </w:rPr>
        <w:t xml:space="preserve">*</w:t>
      </w:r>
      <w:r>
        <w:rPr>
          <w:sz w:val="20"/>
        </w:rPr>
        <w:t xml:space="preserve">These authors contributed equally to this work.</w:t>
      </w:r>
    </w:p>
    <w:p>
      <w:pPr>
        <w:pStyle w:val="BodyText"/>
        <w:jc w:val="both"/>
        <w:keepNext w:val="0"/>
        <w:keepLines w:val="0"/>
        <w:widowControl w:val="1"/>
      </w:pPr>
      <w:r>
        <w:rPr>
          <w:vertAlign w:val="superscript"/>
        </w:rPr>
        <w:t xml:space="preserve">1</w:t>
      </w:r>
      <w:r>
        <w:t xml:space="preserve">Department of Intelligent Systems, Afeka Tel-Aviv College of Engineering, Israel.</w:t>
      </w:r>
      <w:r>
        <w:br/>
      </w:r>
      <w:r>
        <w:rPr>
          <w:vertAlign w:val="superscript"/>
        </w:rPr>
        <w:t xml:space="preserve">2</w:t>
      </w:r>
      <w:r>
        <w:t xml:space="preserve">School of Computer Science, Faculty of Sciences, HIT–Holon Institute of Technology, Israel.</w:t>
      </w:r>
    </w:p>
    <w:p>
      <w:pPr>
        <w:pStyle w:val="BodyText"/>
        <w:jc w:val="both"/>
        <w:keepNext w:val="0"/>
        <w:keepLines w:val="0"/>
        <w:widowControl w:val="1"/>
      </w:pPr>
      <w:r>
        <w:t xml:space="preserve">Companion to</w:t>
      </w:r>
      <w:r>
        <w:t xml:space="preserve"> </w:t>
      </w:r>
      <w:hyperlink r:id="rId9">
        <w:r>
          <w:rPr>
            <w:rStyle w:val="Hyperlink"/>
            <w:b/>
            <w:bCs/>
          </w:rPr>
          <w:t xml:space="preserve">NMIPaper.html</w:t>
        </w:r>
      </w:hyperlink>
      <w:r>
        <w:t xml:space="preserve"> </w:t>
      </w:r>
      <w:r>
        <w:t xml:space="preserve">(main article).</w:t>
      </w:r>
    </w:p>
    <w:bookmarkEnd w:id="10"/>
    <w:p>
      <w:pPr>
        <w:pStyle w:val="BodyText"/>
        <w:jc w:val="both"/>
        <w:keepNext w:val="0"/>
        <w:keepLines w:val="0"/>
        <w:widowControl w:val="1"/>
      </w:pPr>
      <w:r>
        <w:rPr>
          <w:b/>
          <w:bCs/>
        </w:rPr>
        <w:t xml:space="preserve">Scope.</w:t>
      </w:r>
      <w:r>
        <w:t xml:space="preserve"> </w:t>
      </w:r>
      <w:r>
        <w:t xml:space="preserve">This Supplementary Information accompanies the NMI Article. It contains the</w:t>
      </w:r>
      <w:r>
        <w:t xml:space="preserve"> </w:t>
      </w:r>
      <w:r>
        <w:t xml:space="preserve">Appendix material referenced from the main paper (datasets and provenance, model architecture and</w:t>
      </w:r>
      <w:r>
        <w:t xml:space="preserve"> </w:t>
      </w:r>
      <w:r>
        <w:t xml:space="preserve">hyperparameters, first-principles audit methodology and uncertainty bounds, reproducibility details</w:t>
      </w:r>
      <w:r>
        <w:t xml:space="preserve"> </w:t>
      </w:r>
      <w:r>
        <w:t xml:space="preserve">and superseded ablations, baseline-method example outputs, and detailed ablations migrated from</w:t>
      </w:r>
      <w:r>
        <w:t xml:space="preserve"> </w:t>
      </w:r>
      <w:r>
        <w:t xml:space="preserve">Results §5.6). The reference list at the end is reproduced from the main article for</w:t>
      </w:r>
      <w:r>
        <w:t xml:space="preserve"> </w:t>
      </w:r>
      <w:r>
        <w:t xml:space="preserve">self-containment so reviewers can read this document standalone.</w:t>
      </w:r>
    </w:p>
    <w:bookmarkStart w:id="47" w:name="sec-app"/>
    <w:p>
      <w:pPr>
        <w:pStyle w:val="Heading2"/>
        <w:keepNext/>
        <w:keepLines/>
        <w:widowControl w:val="1"/>
      </w:pPr>
      <w:r>
        <w:t xml:space="preserve">Appendix</w:t>
      </w:r>
    </w:p>
    <w:bookmarkStart w:id="16" w:name="a.-dataset-details"/>
    <w:p>
      <w:pPr>
        <w:pStyle w:val="Heading3"/>
        <w:keepNext/>
        <w:keepLines/>
        <w:widowControl w:val="1"/>
      </w:pPr>
      <w:r>
        <w:t xml:space="preserve">A. Dataset details</w:t>
      </w:r>
    </w:p>
    <w:bookmarkStart w:id="11" w:name="a.1-data-sources-and-provenance"/>
    <w:p>
      <w:pPr>
        <w:pStyle w:val="Heading4"/>
        <w:keepNext/>
        <w:keepLines/>
        <w:widowControl w:val="1"/>
      </w:pPr>
      <w:r>
        <w:t xml:space="preserve">A.1 Data sources and provenance</w:t>
      </w:r>
    </w:p>
    <w:p>
      <w:pPr>
        <w:pStyle w:val="FirstParagraph"/>
        <w:jc w:val="both"/>
        <w:keepNext w:val="0"/>
        <w:keepLines w:val="0"/>
        <w:widowControl w:val="1"/>
      </w:pPr>
      <w: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BodyText"/>
        <w:jc w:val="both"/>
        <w:keepNext w:val="0"/>
        <w:keepLines w:val="0"/>
        <w:widowControl w:val="1"/>
      </w:pPr>
      <w:r>
        <w:rPr>
          <w:b/>
          <w:bCs/>
        </w:rPr>
        <w:t xml:space="preserve">Table A.1.</w:t>
      </w:r>
      <w:r>
        <w:t xml:space="preserve"> </w:t>
      </w:r>
      <w:r>
        <w:t xml:space="preserve">Per-source provenance of the labelled master, the unlabelled SMILES dump, and the motif-augmented expansion. Per-source row counts are post-canonicalisation and post-charge-filter and pre-cross-source-deduplication.</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Per-source row counts are post-canonicalisation and post-charge-filter and pre-cross-source-dedupl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 (energetics)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Hand-compilation of experimental</w:t>
            </w:r>
            <w:r>
              <w:rPr>
                <w:rFonts w:ascii="Times New Roman" w:hAnsi="Times New Roman"/>
                <w:sz w:val="20"/>
              </w:rPr>
              <w:t xml:space="preserve"> </w:t>
            </w:r>
            <m:oMath>
              <m:r>
                <m:t>ρ</m:t>
              </m:r>
            </m:oMath>
            <w:r>
              <w:rPr>
                <w:rFonts w:ascii="Times New Roman" w:hAnsi="Times New Roman"/>
                <w:sz w:val="20"/>
              </w:rPr>
              <w:t xml:space="preserve">, HOF,</w:t>
            </w:r>
            <w:r>
              <w:rPr>
                <w:rFonts w:ascii="Times New Roman" w:hAnsi="Times New Roman"/>
                <w:sz w:val="20"/>
              </w:rPr>
              <w:t xml:space="preserve"> </w:t>
            </w:r>
            <m:oMath>
              <m:r>
                <m:t>D</m:t>
              </m:r>
            </m:oMath>
            <w:r>
              <w:rPr>
                <w:rFonts w:ascii="Times New Roman" w:hAnsi="Times New Roman"/>
                <w:sz w:val="20"/>
              </w:rPr>
              <w:t xml:space="preserve">,</w:t>
            </w:r>
            <w:r>
              <w:rPr>
                <w:rFonts w:ascii="Times New Roman" w:hAnsi="Times New Roman"/>
                <w:sz w:val="20"/>
              </w:rPr>
              <w:t xml:space="preserve"> </w:t>
            </w:r>
            <m:oMath>
              <m:r>
                <m:t>P</m:t>
              </m:r>
            </m:oMath>
            <w:r>
              <w:rPr>
                <w:rFonts w:ascii="Times New Roman" w:hAnsi="Times New Roman"/>
                <w:sz w:val="20"/>
              </w:rPr>
              <w:t xml:space="preserve"> </w:t>
            </w:r>
            <w:r>
              <w:rPr>
                <w:rFonts w:ascii="Times New Roman" w:hAnsi="Times New Roman"/>
                <w:sz w:val="20"/>
              </w:rPr>
              <w:t xml:space="preserve">for known nitro / nitramine / azide / tetrazole compounds, drawn from Klapötke (2019), Cooper (1996), and the LLNL Explosives Handbook (Dobratz &amp; Crawford 1985)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emdb">
              <w:r>
                <w:rPr>
                  <w:rStyle w:val="Hyperlink"/>
                </w:rPr>
                <w:t xml:space="preserve">[60]</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Casey et al. 2020 detonation-property dataset (curated CHNO + CHNOClF subset, B3LYP/6-31G* HOF + experimentally-anchored densities)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casey2020prediction">
              <w:r>
                <w:rPr>
                  <w:rStyle w:val="Hyperlink"/>
                </w:rPr>
                <w:t xml:space="preserve">[15]</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Kamlet–Jacobs derived rows: density and HOF from literature compilations propagated through the K-J equation to give surrogate</w:t>
            </w:r>
            <w:r>
              <w:rPr>
                <w:rFonts w:ascii="Times New Roman" w:hAnsi="Times New Roman"/>
                <w:sz w:val="20"/>
              </w:rPr>
              <w:t xml:space="preserve"> </w:t>
            </w:r>
            <m:oMath>
              <m:r>
                <m:t>D</m:t>
              </m:r>
              <m:r>
                <m:rPr>
                  <m:sty m:val="p"/>
                </m:rPr>
                <m:t>,</m:t>
              </m:r>
              <m:r>
                <m:t>P</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amlet1968detonation">
              <w:r>
                <w:rPr>
                  <w:rStyle w:val="Hyperlink"/>
                </w:rPr>
                <w:t xml:space="preserve">[62]</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Labelled master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3D-CNN smoke-model surrogate (in-house ensemble trained on the union of A+B+C, eight outputs, 5-fold CV</w:t>
            </w:r>
            <w:r>
              <w:rPr>
                <w:rFonts w:ascii="Times New Roman" w:hAnsi="Times New Roman"/>
                <w:sz w:val="20"/>
              </w:rPr>
              <w:t xml:space="preserve"> </w:t>
            </w:r>
            <m:oMath>
              <m:sSup>
                <m:e>
                  <m:r>
                    <m:t>R</m:t>
                  </m:r>
                </m:e>
                <m:sup>
                  <m:r>
                    <m:t>2</m:t>
                  </m:r>
                </m:sup>
              </m:sSup>
              <m:r>
                <m:rPr>
                  <m:sty m:val="p"/>
                </m:rPr>
                <m:t>=</m:t>
              </m:r>
              <m:r>
                <m:t>0.84</m:t>
              </m:r>
              <m:r>
                <m:rPr>
                  <m:sty m:val="p"/>
                </m:rPr>
                <m:t>&amp;</m:t>
              </m:r>
              <m:r>
                <m:t>n</m:t>
              </m:r>
              <m:r>
                <m:t>d</m:t>
              </m:r>
              <m:r>
                <m:t>a</m:t>
              </m:r>
              <m:r>
                <m:t>s</m:t>
              </m:r>
              <m:r>
                <m:t>h</m:t>
              </m:r>
              <m:r>
                <m:rPr>
                  <m:sty m:val="p"/>
                </m:rPr>
                <m:t>;</m:t>
              </m:r>
              <m:r>
                <m:t>0.92</m:t>
              </m:r>
            </m:oMath>
            <w:r>
              <w:rPr>
                <w:rFonts w:ascii="Times New Roman" w:hAnsi="Times New Roman"/>
                <w:sz w:val="20"/>
              </w:rPr>
              <w:t xml:space="preserve">) used to label rows that have no other source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Negatives for viability classifier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ZINC-15 random subsample (drug-like, neutral, MW &lt; 500), used as inert chemistry against which the RandomForest viability classifier is trained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sterling2015zinc">
              <w:r>
                <w:rPr>
                  <w:rStyle w:val="Hyperlink"/>
                </w:rPr>
                <w:t xml:space="preserve">[22]</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Hard negatives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Cheats mined from earlier generation pools (gem-tetranitro on small rings, polyazene chains, trinitromethane, gem-dinitrocyclopropane, etc.), encoded through LIMO and used as viab=0 latents in score-model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 §4.8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SMARTS catalog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NIST CAMEO Chemicals reactivity database + ChemAxon “dangerous reactivity” SMARTS, distilled into the Bruns–Watson demerit catalog used by the SMARTS gate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 (rules)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cameo">
              <w:r>
                <w:rPr>
                  <w:rStyle w:val="Hyperlink"/>
                </w:rPr>
                <w:t xml:space="preserve">[63]</w:t>
              </w:r>
            </w:hyperlink>
            <w:r>
              <w:rPr>
                <w:rFonts w:ascii="Times New Roman" w:hAnsi="Times New Roman"/>
                <w:sz w:val="20"/>
              </w:rPr>
              <w:t xml:space="preserve">,</w:t>
            </w:r>
            <w:r>
              <w:rPr>
                <w:rFonts w:ascii="Times New Roman" w:hAnsi="Times New Roman"/>
                <w:sz w:val="20"/>
              </w:rPr>
              <w:t xml:space="preserve"> </w:t>
            </w:r>
            <w:hyperlink w:anchor="ref-bruns2020watson">
              <w:r>
                <w:rPr>
                  <w:rStyle w:val="Hyperlink"/>
                </w:rPr>
                <w:t xml:space="preserve">[64]</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Unlabelled domain corpus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Augmented CHNO / CHNOClF SMILES dump assembled from public energetic-chemistry compilations (Klapötke reviews, patent-extracted SMILES, energetic-materials review papers); used only for the unconditional prior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lapotke2017nitrogen">
              <w:r>
                <w:rPr>
                  <w:rStyle w:val="Hyperlink"/>
                </w:rPr>
                <w:t xml:space="preserve">[58]</w:t>
              </w:r>
            </w:hyperlink>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Motif-augmented expansion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Programmatic substitution of nitro, nitramine, azide, cyano, tetrazole, oxadiazole groups onto the labelled master scaffolds, then re-canonicalised and de-duplicated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 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none (only used in unlabelled prior)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this work</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External novelty database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PubChem 2023 (PUG REST query on canonical SMILES) used to assess novelty of generated leads, not for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hyperlink w:anchor="ref-kim2023pubchem">
              <w:r>
                <w:rPr>
                  <w:rStyle w:val="Hyperlink"/>
                </w:rPr>
                <w:t xml:space="preserve">[23]</w:t>
              </w:r>
            </w:hyperlink>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Stability triage tool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xTB 6.6.1 (GFN2-xTB) used at sample-time triage on top leads (</w:t>
            </w:r>
            <m:oMath>
              <m:r>
                <m:rPr>
                  <m:sty m:val="p"/>
                </m:rPr>
                <m:t>≤</m:t>
              </m:r>
            </m:oMath>
            <w:r>
              <w:rPr>
                <w:rFonts w:ascii="Times New Roman" w:hAnsi="Times New Roman"/>
                <w:sz w:val="20"/>
              </w:rPr>
              <w:t xml:space="preserve">100 candidates), not in the training set</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hyperlink w:anchor="ref-bannwarth2019gfn2">
              <w:r>
                <w:rPr>
                  <w:rStyle w:val="Hyperlink"/>
                </w:rPr>
                <w:t xml:space="preserve">[65]</w:t>
              </w:r>
            </w:hyperlink>
          </w:p>
        </w:tc>
      </w:tr>
    </w:tbl>
    <w:p>
      <w:pPr>
        <w:pStyle w:val="BodyText"/>
        <w:spacing w:before="160"/>
        <w:jc w:val="both"/>
        <w:keepNext w:val="0"/>
        <w:keepLines w:val="0"/>
        <w:widowControl w:val="1"/>
      </w:pPr>
      <w:r>
        <w:rPr>
          <w:b/>
          <w:bCs/>
        </w:rPr>
        <w:t xml:space="preserve">What is and is not in the master.</w:t>
      </w:r>
      <w:r>
        <w:t xml:space="preserve"> </w:t>
      </w:r>
      <w:r>
        <w:t xml:space="preserve">The labelled master contains canonical, neutral, single-component CHNOClF SMILES with at least one of {density, HOF,</w:t>
      </w:r>
      <w:r>
        <w:t xml:space="preserve"> </w:t>
      </w:r>
      <m:oMath>
        <m:r>
          <m:t>D</m:t>
        </m:r>
      </m:oMath>
      <w:r>
        <w:t xml:space="preserve">,</w:t>
      </w:r>
      <w:r>
        <w:t xml:space="preserve"> </w:t>
      </w:r>
      <m:oMath>
        <m:r>
          <m:t>P</m:t>
        </m:r>
      </m:oMath>
      <w:r>
        <w:t xml:space="preserve">}. Salt fragments, mixtures, organometallics, isotopologues, and radicals are filtered. Per-row labels are aggregated to the highest-tier value available for each property; a row with experimental</w:t>
      </w:r>
      <w:r>
        <w:t xml:space="preserve"> </w:t>
      </w:r>
      <m:oMath>
        <m:r>
          <m:t>ρ</m:t>
        </m:r>
      </m:oMath>
      <w:r>
        <w:t xml:space="preserve"> </w:t>
      </w:r>
      <w:r>
        <w:t xml:space="preserve">(Tier A) and Kamlet–Jacobs</w:t>
      </w:r>
      <w:r>
        <w:t xml:space="preserve"> </w:t>
      </w:r>
      <m:oMath>
        <m:r>
          <m:t>P</m:t>
        </m:r>
      </m:oMath>
      <w:r>
        <w:t xml:space="preserve"> </w:t>
      </w:r>
      <w: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BodyText"/>
        <w:jc w:val="both"/>
        <w:keepNext w:val="0"/>
        <w:keepLines w:val="0"/>
        <w:widowControl w:val="1"/>
      </w:pPr>
      <w:r>
        <w:rPr>
          <w:b/>
          <w:bCs/>
        </w:rPr>
        <w:t xml:space="preserve">Row-count overlap and deduplication.</w:t>
      </w:r>
      <w:r>
        <w:t xml:space="preserve"> </w:t>
      </w:r>
      <w:r>
        <w:t xml:space="preserve">The per-source counts in the table above are pre-overlap. After cross-source canonical-SMILES deduplication the labelled master contains</w:t>
      </w:r>
      <w:r>
        <w:t xml:space="preserve"> </w:t>
      </w:r>
      <m:oMath>
        <m:r>
          <m:rPr>
            <m:sty m:val="p"/>
          </m:rPr>
          <m:t>∼</m:t>
        </m:r>
        <m:r>
          <m:t>65</m:t>
        </m:r>
        <m:r>
          <m:t> </m:t>
        </m:r>
        <m:r>
          <m:t>980</m:t>
        </m:r>
      </m:oMath>
      <w:r>
        <w:t xml:space="preserve"> </w:t>
      </w:r>
      <w:r>
        <w:t xml:space="preserve">unique molecules (Tier-A</w:t>
      </w:r>
      <w:r>
        <w:t xml:space="preserve"> </w:t>
      </w:r>
      <m:oMath>
        <m:r>
          <m:rPr>
            <m:sty m:val="p"/>
          </m:rPr>
          <m:t>∩</m:t>
        </m:r>
      </m:oMath>
      <w:r>
        <w:t xml:space="preserve"> </w:t>
      </w:r>
      <w:r>
        <w:t xml:space="preserve">Tier-B is small but non-zero:</w:t>
      </w:r>
      <w:r>
        <w:t xml:space="preserve"> </w:t>
      </w:r>
      <m:oMath>
        <m:r>
          <m:rPr>
            <m:sty m:val="p"/>
          </m:rPr>
          <m:t>∼</m:t>
        </m:r>
      </m:oMath>
      <w:r>
        <w:t xml:space="preserve">600 molecules carry both an experimental measurement and an independent DFT-derived label for at least one property; these contribute to a held-out cross-tier consistency check used during data-readiness audits). The unlabelled</w:t>
      </w:r>
      <w:r>
        <w:t xml:space="preserve"> </w:t>
      </w:r>
      <m:oMath>
        <m:r>
          <m:rPr>
            <m:sty m:val="p"/>
          </m:rPr>
          <m:t>∼</m:t>
        </m:r>
        <m:r>
          <m:t>380</m:t>
        </m:r>
        <m:r>
          <m:t> </m:t>
        </m:r>
      </m:oMath>
      <w:r>
        <w:t xml:space="preserve">k corpus and the motif-augmented</w:t>
      </w:r>
      <w:r>
        <w:t xml:space="preserve"> </w:t>
      </w:r>
      <m:oMath>
        <m:r>
          <m:rPr>
            <m:sty m:val="p"/>
          </m:rPr>
          <m:t>∼</m:t>
        </m:r>
        <m:r>
          <m:t>1.08</m:t>
        </m:r>
        <m:r>
          <m:t> </m:t>
        </m:r>
      </m:oMath>
      <w:r>
        <w:t xml:space="preserve">M expansion are deduplicated against the labelled master and against each other, yielding a final pretraining pool of</w:t>
      </w:r>
      <w:r>
        <w:t xml:space="preserve"> </w:t>
      </w:r>
      <m:oMath>
        <m:r>
          <m:rPr>
            <m:sty m:val="p"/>
          </m:rPr>
          <m:t>∼</m:t>
        </m:r>
        <m:r>
          <m:t>694</m:t>
        </m:r>
        <m:r>
          <m:t> </m:t>
        </m:r>
      </m:oMath>
      <w:r>
        <w:t xml:space="preserve">k unique canonical SMILES (this is the corpus referenced in the §5.4 Tanimoto stratification). Anchor compounds (RDX, HMX, TATB, FOX-7, PETN, NTO, TNT, etc.) appear in the labelled master and are</w:t>
      </w:r>
      <w:r>
        <w:t xml:space="preserve"> </w:t>
      </w:r>
      <w:r>
        <w:rPr>
          <w:i/>
          <w:iCs/>
        </w:rPr>
        <w:t xml:space="preserve">not</w:t>
      </w:r>
      <w:r>
        <w:t xml:space="preserve"> </w:t>
      </w:r>
      <w:r>
        <w:t xml:space="preserve">filtered from generation; their occasional surfacing in gated runs is a sanity-check rediscovery rather than a leak.</w:t>
      </w:r>
    </w:p>
    <w:bookmarkEnd w:id="11"/>
    <w:bookmarkStart w:id="15" w:name="a.2-data-preprocessing-details"/>
    <w:p>
      <w:pPr>
        <w:pStyle w:val="Heading4"/>
        <w:keepNext/>
        <w:keepLines/>
        <w:widowControl w:val="1"/>
      </w:pPr>
      <w:r>
        <w:t xml:space="preserve">A.2 Data preprocessing details</w:t>
      </w:r>
    </w:p>
    <w:p>
      <w:pPr>
        <w:pStyle w:val="FirstParagraph"/>
        <w:jc w:val="both"/>
        <w:keepNext w:val="0"/>
        <w:keepLines w:val="0"/>
        <w:widowControl w:val="1"/>
      </w:pPr>
      <w: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vertAlign w:val="superscript"/>
        </w:rPr>
        <w:t xml:space="preserve">3</w:t>
      </w:r>
      <w: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3" name="Picture"/>
            <a:graphic>
              <a:graphicData uri="http://schemas.openxmlformats.org/drawingml/2006/picture">
                <pic:pic>
                  <pic:nvPicPr>
                    <pic:cNvPr descr="figs/fig_eda_atom_counts.png" id="14" name="Picture"/>
                    <pic:cNvPicPr>
                      <a:picLocks noChangeArrowheads="1" noChangeAspect="1"/>
                    </pic:cNvPicPr>
                  </pic:nvPicPr>
                  <pic:blipFill>
                    <a:blip r:embed="rId12"/>
                    <a:stretch>
                      <a:fillRect/>
                    </a:stretch>
                  </pic:blipFill>
                  <pic:spPr bwMode="auto">
                    <a:xfrm>
                      <a:off x="0" y="0"/>
                      <a:ext cx="5943600" cy="1920525"/>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Figure A.1.</w:t>
      </w:r>
      <w:r>
        <w:t xml:space="preserve"> </w:t>
      </w:r>
      <w:r>
        <w:t xml:space="preserve">Atom-composition statistics over a 30k subsample of the labelled corpus: molecular weight, nitro-group count, and joint C-vs-N atom counts. The corpus is heavily concentrated in CHNO chemistry with 2–6 nitro groups and MW between 150 and 350.</w:t>
      </w:r>
    </w:p>
    <w:bookmarkEnd w:id="15"/>
    <w:bookmarkEnd w:id="16"/>
    <w:bookmarkStart w:id="19" w:name="X86ca6009a5c21dee0dd2d63a566156f0e6f6ce9"/>
    <w:p>
      <w:pPr>
        <w:pStyle w:val="Heading3"/>
        <w:keepNext/>
        <w:keepLines/>
        <w:widowControl w:val="1"/>
      </w:pPr>
      <w:r>
        <w:t xml:space="preserve">B. Model architecture and hyperparameter values</w:t>
      </w:r>
    </w:p>
    <w:p>
      <w:pPr>
        <w:pStyle w:val="FirstParagraph"/>
        <w:jc w:val="both"/>
        <w:keepNext w:val="0"/>
        <w:keepLines w:val="0"/>
        <w:widowControl w:val="1"/>
      </w:pPr>
      <w:r>
        <w:rPr>
          <w:b/>
          <w:bCs/>
        </w:rPr>
        <w:t xml:space="preserve">B.0 Architecture summary.</w:t>
      </w:r>
      <w:r>
        <w:t xml:space="preserve"> </w:t>
      </w:r>
      <w:r>
        <w:t xml:space="preserve">DGLD instantiates four neural networks plus two non-neural label sources. (1) The</w:t>
      </w:r>
      <w:r>
        <w:t xml:space="preserve"> </w:t>
      </w:r>
      <w:r>
        <w:rPr>
          <w:b/>
          <w:bCs/>
        </w:rPr>
        <w:t xml:space="preserve">LIMO SELFIES-VAE</w:t>
      </w:r>
      <w:r>
        <w:t xml:space="preserve"> </w:t>
      </w:r>
      <w:r>
        <w:t xml:space="preserve">(Fig 7) encodes every SMILES once into a deterministic 1024-d latent μ that the diffusion model treats as its data. (2) The</w:t>
      </w:r>
      <w:r>
        <w:t xml:space="preserve"> </w:t>
      </w:r>
      <w:r>
        <w:rPr>
          <w:b/>
          <w:bCs/>
        </w:rPr>
        <w:t xml:space="preserve">denoiser</w:t>
      </w:r>
      <w:r>
        <w:t xml:space="preserve"> </w:t>
      </w:r>
      <w:r>
        <w:t xml:space="preserve">ε</w:t>
      </w:r>
      <w:r>
        <w:rPr>
          <w:vertAlign w:val="subscript"/>
        </w:rPr>
        <w:t xml:space="preserve">θ</w:t>
      </w:r>
      <w:r>
        <w:t xml:space="preserve"> </w:t>
      </w:r>
      <w:r>
        <w:t xml:space="preserve">(Fig 9) is a 44.6 M-parameter FiLM-ResNet that reverses a 1000-step cosine DDPM in latent space; the production sampler runs two such denoisers in parallel (DGLD-H + DGLD-P, §4.5). (3) The</w:t>
      </w:r>
      <w:r>
        <w:t xml:space="preserve"> </w:t>
      </w:r>
      <w:r>
        <w:rPr>
          <w:b/>
          <w:bCs/>
        </w:rPr>
        <w:t xml:space="preserve">multi-task score model</w:t>
      </w:r>
      <w:r>
        <w:t xml:space="preserve"> </w:t>
      </w:r>
      <w: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t xml:space="preserve"> </w:t>
      </w:r>
      <w:r>
        <w:rPr>
          <w:b/>
          <w:bCs/>
        </w:rPr>
        <w:t xml:space="preserve">external label sources</w:t>
      </w:r>
      <w: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(LIMO VAE), B.1b (denoiser + score model), and B.1c (label sources + reranker).</w:t>
      </w:r>
    </w:p>
    <w:p>
      <w:pPr>
        <w:pStyle w:val="BodyText"/>
        <w:jc w:val="both"/>
        <w:keepNext w:val="0"/>
        <w:keepLines w:val="0"/>
        <w:widowControl w:val="1"/>
      </w:pPr>
      <w:r>
        <w:rPr>
          <w:b/>
          <w:bCs/>
        </w:rPr>
        <w:t xml:space="preserve">External label sources are training-time only.</w:t>
      </w:r>
      <w:r>
        <w:t xml:space="preserve"> </w:t>
      </w:r>
      <w:r>
        <w:t xml:space="preserve">The Random-Forest viability classifier and the 3D-CNN/Uni-Mol smoke-model ensemble are</w:t>
      </w:r>
      <w:r>
        <w:t xml:space="preserve"> </w:t>
      </w:r>
      <w:r>
        <w:rPr>
          <w:i/>
          <w:iCs/>
        </w:rPr>
        <w:t xml:space="preserve">not</w:t>
      </w:r>
      <w:r>
        <w:t xml:space="preserve"> </w:t>
      </w:r>
      <w:r>
        <w:t xml:space="preserve">executed at every diffusion step. They are run once, offline, over the cached training corpus to manufacture the per-row labels (</w:t>
      </w:r>
      <m:oMath>
        <m:sSub>
          <m:e>
            <m:r>
              <m:t>y</m:t>
            </m:r>
          </m:e>
          <m:sub>
            <m:r>
              <m:rPr>
                <m:nor/>
                <m:sty m:val="p"/>
              </m:rPr>
              <m:t>viab</m:t>
            </m:r>
          </m:sub>
        </m:sSub>
      </m:oMath>
      <w:r>
        <w:t xml:space="preserve">,</w:t>
      </w:r>
      <w:r>
        <w:t xml:space="preserve"> </w:t>
      </w:r>
      <m:oMath>
        <m:sSub>
          <m:e>
            <m:r>
              <m:t>y</m:t>
            </m:r>
          </m:e>
          <m:sub>
            <m:r>
              <m:t>ρ</m:t>
            </m:r>
          </m:sub>
        </m:sSub>
      </m:oMath>
      <w:r>
        <w:t xml:space="preserve">,</w:t>
      </w:r>
      <w:r>
        <w:t xml:space="preserve"> </w:t>
      </w:r>
      <m:oMath>
        <m:sSub>
          <m:e>
            <m:r>
              <m:t>y</m:t>
            </m:r>
          </m:e>
          <m:sub>
            <m:r>
              <m:t>D</m:t>
            </m:r>
          </m:sub>
        </m:sSub>
      </m:oMath>
      <w:r>
        <w:t xml:space="preserve">,</w:t>
      </w:r>
      <w:r>
        <w:t xml:space="preserve"> </w:t>
      </w:r>
      <m:oMath>
        <m:sSub>
          <m:e>
            <m:r>
              <m:t>y</m:t>
            </m:r>
          </m:e>
          <m:sub>
            <m:r>
              <m:t>P</m:t>
            </m:r>
          </m:sub>
        </m:sSub>
      </m:oMath>
      <w: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BodyText"/>
        <w:jc w:val="both"/>
        <w:keepNext w:val="0"/>
        <w:keepLines w:val="0"/>
        <w:widowControl w:val="1"/>
      </w:pPr>
      <w:r>
        <w:rPr>
          <w:b/>
          <w:bCs/>
        </w:rPr>
        <w:t xml:space="preserve">Table B.1a.</w:t>
      </w:r>
      <w:r>
        <w:t xml:space="preserve"> </w:t>
      </w:r>
      <w:r>
        <w:t xml:space="preserve">LIMO SELFIES-VAE hyperparameters. Source of truth for all LIMO-related numeric values referenced in §3–§4.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SELFIES-VAE (Fig 4a)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Latent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1024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SELFIES max length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72</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Vocabulary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Embedding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Encoder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Linear(72·64=4608→2000)–ReLU–Linear(2000→1000)–BN1d–ReLU–Linear(1000→1000)–BN1d–ReLU–Linear(1000→2·1024)</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Decoder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Linear(1024→1000)–BN1d–ReLU–Linear(1000→1000)–BN1d–ReLU–Linear(1000→2000)–ReLU–Linear(2000→72·108=7776)</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ReLU (encoder &amp; decoder hidden); log-softmax over vocab on output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NLL reconstruction + β·KL (standard VAE ELBO; free-bits disabled)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KL weight β</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0.01 (constant)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Fine-tune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~8500 on 326 k energetic-biased SMILES</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combo_bundle/limo_model.py</w:t>
            </w:r>
            <w:r>
              <w:rPr>
                <w:rFonts w:ascii="Times New Roman" w:hAnsi="Times New Roman"/>
                <w:sz w:val="20"/>
              </w:rPr>
              <w:t xml:space="preserve"> </w:t>
            </w:r>
            <w:r>
              <w:rPr>
                <w:rFonts w:ascii="Times New Roman" w:hAnsi="Times New Roman"/>
                <w:sz w:val="20"/>
              </w:rPr>
              <w:t xml:space="preserve">(LIMOVAE class)</w:t>
            </w:r>
          </w:p>
        </w:tc>
      </w:tr>
    </w:tbl>
    <w:p/>
    <w:p>
      <w:pPr>
        <w:pStyle w:val="BodyText"/>
        <w:jc w:val="both"/>
        <w:keepNext w:val="0"/>
        <w:keepLines w:val="0"/>
        <w:widowControl w:val="1"/>
      </w:pPr>
      <w:r>
        <w:rPr>
          <w:b/>
          <w:bCs/>
        </w:rPr>
        <w:t xml:space="preserve">Table B.1b.</w:t>
      </w:r>
      <w:r>
        <w:t xml:space="preserve"> </w:t>
      </w:r>
      <w:r>
        <w:t xml:space="preserve">Denoiser and multi-task score-model hyperparameters. Source of truth for all denoiser and score-model numeric values referenced in §3–§4.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3–§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ε</w:t>
            </w:r>
            <w:r>
              <w:rPr>
                <w:rFonts w:ascii="Times New Roman" w:hAnsi="Times New Roman"/>
                <w:sz w:val="20"/>
                <w:vertAlign w:val="subscript"/>
              </w:rPr>
              <w:t xml:space="preserve">θ</w:t>
            </w:r>
            <w:r>
              <w:rPr>
                <w:rFonts w:ascii="Times New Roman" w:hAnsi="Times New Roman"/>
                <w:sz w:val="20"/>
              </w:rPr>
              <w:t xml:space="preserve"> </w:t>
            </w:r>
            <w:r>
              <w:rPr>
                <w:rFonts w:ascii="Times New Roman" w:hAnsi="Times New Roman"/>
                <w:sz w:val="20"/>
              </w:rPr>
              <w:t xml:space="preserve">(DGLD-P; Fig 4c)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FiLM-modulated ResNet, 8 residual blocks, latent 1024, hidden 2048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LayerNorm–Linear(1024→2048)–FiLM(γ,β)–SiLU–Linear(2048→1024) with residual add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44.6 M</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Time-embed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256 (sinusoidal → 2-layer MLP)</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Property-embed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64 per property × 4 properties = 256, plus learned mask token</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masked MSE on predicted noise ε with mask m</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 (diffusion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 (cosine schedule, Nichol &amp; Dhariwal)</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EMA decay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1e-4 / 1e-4 (cosine decay)</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cfg-dropout 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property-dropout rate (DGLD-P)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oversample-extreme factor / quantile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5×–10× above 90th percentile (high tail; matches §3.2)</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Multi-task score model (Fig 4e1, 4f)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latent 1024, hidden 1024, σ-embed 128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Per-block layers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Linear(1024→1024)–LayerNorm–FiLM(σ-emb→(γ,β) over 1024)–SiLU–Dropout(0.1) with residual add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embedding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Linear(1→128)–SiLU–Linear(128→128)</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Heads (6, parallel on 1024-d trunk)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Linear(1024→256)–SiLU–Linear(256→d</w:t>
            </w:r>
            <w:r>
              <w:rPr>
                <w:rFonts w:ascii="Times New Roman" w:hAnsi="Times New Roman"/>
                <w:sz w:val="20"/>
                <w:vertAlign w:val="subscript"/>
              </w:rPr>
              <w:t xml:space="preserve">k</w:t>
            </w:r>
            <w:r>
              <w:rPr>
                <w:rFonts w:ascii="Times New Roman" w:hAnsi="Times New Roman"/>
                <w:sz w:val="20"/>
              </w:rPr>
              <w:t xml:space="preserve">); d</w:t>
            </w:r>
            <w:r>
              <w:rPr>
                <w:rFonts w:ascii="Times New Roman" w:hAnsi="Times New Roman"/>
                <w:sz w:val="20"/>
                <w:vertAlign w:val="subscript"/>
              </w:rPr>
              <w:t xml:space="preserve">k</w:t>
            </w:r>
            <w:r>
              <w:rPr>
                <w:rFonts w:ascii="Times New Roman" w:hAnsi="Times New Roman"/>
                <w:sz w:val="20"/>
              </w:rPr>
              <w:t xml:space="preserve">=1 for viability/SA/SC/sensitivity/hazard; d</w:t>
            </w:r>
            <w:r>
              <w:rPr>
                <w:rFonts w:ascii="Times New Roman" w:hAnsi="Times New Roman"/>
                <w:sz w:val="20"/>
                <w:vertAlign w:val="subscript"/>
              </w:rPr>
              <w:t xml:space="preserve">k</w:t>
            </w:r>
            <w:r>
              <w:rPr>
                <w:rFonts w:ascii="Times New Roman" w:hAnsi="Times New Roman"/>
                <w:sz w:val="20"/>
              </w:rPr>
              <w:t xml:space="preserve">=4 for performance (ρ, HOF, D, P)</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SiLU (trunk); sigmoid on viability/hazard logits at use-time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Per-head loss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BCE-with-logits (viability, hazard); smooth-L1 on z-scored target (SA, SC, sensitivity, performance), performance masked to Tier-A/B</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Noise-level curriculum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σ ~ U(0, σ</w:t>
            </w:r>
            <w:r>
              <w:rPr>
                <w:rFonts w:ascii="Times New Roman" w:hAnsi="Times New Roman"/>
                <w:sz w:val="20"/>
                <w:vertAlign w:val="subscript"/>
              </w:rPr>
              <w:t xml:space="preserve">max</w:t>
            </w:r>
            <w:r>
              <w:rPr>
                <w:rFonts w:ascii="Times New Roman" w:hAnsi="Times New Roman"/>
                <w:sz w:val="20"/>
              </w:rPr>
              <w:t xml:space="preserve">=2.0) per batch; z</w:t>
            </w:r>
            <w:r>
              <w:rPr>
                <w:rFonts w:ascii="Times New Roman" w:hAnsi="Times New Roman"/>
                <w:sz w:val="20"/>
                <w:vertAlign w:val="subscript"/>
              </w:rPr>
              <w:t xml:space="preserve">t</w:t>
            </w:r>
            <w:r>
              <w:rPr>
                <w:rFonts w:ascii="Times New Roman" w:hAnsi="Times New Roman"/>
                <w:sz w:val="20"/>
              </w:rPr>
              <w:t xml:space="preserve">=z</w:t>
            </w:r>
            <w:r>
              <w:rPr>
                <w:rFonts w:ascii="Times New Roman" w:hAnsi="Times New Roman"/>
                <w:sz w:val="20"/>
                <w:vertAlign w:val="subscript"/>
              </w:rPr>
              <w:t xml:space="preserve">0</w:t>
            </w:r>
            <w:r>
              <w:rPr>
                <w:rFonts w:ascii="Times New Roman" w:hAnsi="Times New Roman"/>
                <w:sz w:val="20"/>
              </w:rPr>
              <w:t xml:space="preserve">+σ·ε</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Optimizer / LR / wd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AdamW / 2e-4 / 1e-4 (cosine decay), grad-norm clip 1.0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Steps / batch</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~40k AdamW steps / batch 1024 (matches §4.7)</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Sample-time guidance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autograd of head losses w.r.t. z</w:t>
            </w:r>
            <w:r>
              <w:rPr>
                <w:rFonts w:ascii="Times New Roman" w:hAnsi="Times New Roman"/>
                <w:sz w:val="20"/>
                <w:vertAlign w:val="subscript"/>
              </w:rPr>
              <w:t xml:space="preserve">t</w:t>
            </w:r>
            <w:r>
              <w:rPr>
                <w:rFonts w:ascii="Times New Roman" w:hAnsi="Times New Roman"/>
                <w:sz w:val="20"/>
              </w:rPr>
              <w:t xml:space="preserve">; per-head clamp + alpha-anneal disabled (§4.7)</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Code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combo_bundle/train_multihead_latent.py</w:t>
            </w:r>
            <w:r>
              <w:rPr>
                <w:rFonts w:ascii="Times New Roman" w:hAnsi="Times New Roman"/>
                <w:sz w:val="20"/>
              </w:rPr>
              <w:t xml:space="preserve"> </w:t>
            </w:r>
            <w:r>
              <w:rPr>
                <w:rFonts w:ascii="Times New Roman" w:hAnsi="Times New Roman"/>
                <w:sz w:val="20"/>
              </w:rPr>
              <w:t xml:space="preserve">(MultiHeadScoreModel)</w:t>
            </w:r>
          </w:p>
        </w:tc>
      </w:tr>
    </w:tbl>
    <w:p/>
    <w:p>
      <w:pPr>
        <w:pStyle w:val="BodyText"/>
        <w:jc w:val="both"/>
        <w:keepNext w:val="0"/>
        <w:keepLines w:val="0"/>
        <w:widowControl w:val="1"/>
      </w:pPr>
      <w:r>
        <w:rPr>
          <w:b/>
          <w:bCs/>
        </w:rPr>
        <w:t xml:space="preserve">Table B.1c.</w:t>
      </w:r>
      <w:r>
        <w:t xml:space="preserve"> </w:t>
      </w:r>
      <w: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Random-Forest viability classifier (training-label source)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Algorithm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scikit-learn RandomForestClassifier (CPU)</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n_estimators / max_depth / min_samples_leaf</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200 / 22 / 4 (v2-hardneg; v1 uses CLI flags: see code)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Class weight / random_state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balanced / 42</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Feature dim</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~2089 = 2048 Morgan FP (radius 2) + 10 RDKit descriptors + 11 derived CHNO/OB features</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Training data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k labelled energetics positives vs 80 k ZINC-250k random negatives + mined hard negatives (§B.1)</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AUC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0.9986 (v2-hardneg test split)</w:t>
            </w:r>
          </w:p>
        </w:tc>
      </w:tr>
      <w:tr>
        <w:tc>
          <w:tcPr>
            <w:vMerge w:val="restart"/>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smoke-model ensemble (training-label source &amp; Stage-1 scorer)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Backbone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Uni-Mol v1 (Zhou et al. 2023) regression head, 2-fold scaffold-CV ensemble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Parameter count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 M per fold × 2 folds</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Inputs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3D conformer atom-coordinate set (Uni-Mol native); not a raw voxel grid</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Outputs (8)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ρ, D, P, det-temperature T, det-energy E, det-volume V, HOF, BDE</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Validation R</w:t>
            </w:r>
            <w:r>
              <w:rPr>
                <w:rFonts w:ascii="Times New Roman" w:hAnsi="Times New Roman"/>
                <w:sz w:val="20"/>
                <w:vertAlign w:val="super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0.84–0.92 (5-fold CV, per output)</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Wrapper / inference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scripts/diffusion/unimol_validator.py</w:t>
            </w:r>
            <w:r>
              <w:rPr>
                <w:rFonts w:ascii="Times New Roman" w:hAnsi="Times New Roman"/>
                <w:sz w:val="20"/>
              </w:rPr>
              <w:t xml:space="preserve">; reset every 80 batches</w:t>
            </w:r>
          </w:p>
        </w:tc>
      </w:tr>
      <w:tr>
        <w:tc>
          <w:tcPr>
            <w:vMerge w:val="restart"/>
            <w:tcBorders>
              <w:left w:val="single" w:sz="4" w:color="D9E1E8"/>
              <w:right w:val="single" w:sz="4" w:color="D9E1E8"/>
              <w:top w:val="single" w:sz="4" w:color="D9E1E8"/>
              <w:bottom w:val="nil" w:sz="4" w:color="D9E1E8"/>
            </w:tcBorders>
          </w:tcPr>
          <w:p>
            <w:pPr>
              <w:pStyle w:val="Compact"/>
              <w:spacing w:before="0" w:after="20" w:line="240" w:lineRule="auto"/>
              <w:jc w:val="center"/>
              <w:keepNext w:val="0"/>
              <w:keepLines/>
              <w:widowControl w:val="1"/>
            </w:pPr>
            <w:r>
              <w:rPr>
                <w:rFonts w:ascii="Times New Roman" w:hAnsi="Times New Roman"/>
                <w:sz w:val="20"/>
              </w:rPr>
              <w:t xml:space="preserve">Re-ranking (Stage 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 cap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w:t>
            </w:r>
          </w:p>
        </w:tc>
      </w:tr>
      <w:tr>
        <w:tc>
          <w:tcPr>
            <w:gridSpan w:val="1"/>
            <w:vMerge w:val="continue"/>
          </w:tcPr>
          <w:p>
            <w:pP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 cap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w:t>
            </w:r>
          </w:p>
        </w:tc>
      </w:tr>
      <w:tr>
        <w:tc>
          <w:tcPr>
            <w:gridSpan w:val="1"/>
            <w:vMerge w:val="continue"/>
          </w:tcPr>
          <w:p>
            <w:pP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Tanimoto window</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(0.20, 0.55)</w:t>
            </w:r>
          </w:p>
        </w:tc>
      </w:tr>
    </w:tbl>
    <w:p>
      <w:pPr>
        <w:pStyle w:val="BodyText"/>
        <w:spacing w:before="160"/>
        <w:jc w:val="both"/>
        <w:keepNext w:val="0"/>
        <w:keepLines w:val="0"/>
        <w:widowControl w:val="1"/>
      </w:pPr>
      <w:r>
        <w:rPr>
          <w:b/>
          <w:bCs/>
        </w:rPr>
        <w:t xml:space="preserve">B.1 Hard-negative augmentation (self-distillation).</w:t>
      </w:r>
    </w:p>
    <w:p>
      <w:pPr>
        <w:pStyle w:val="BodyText"/>
        <w:jc w:val="both"/>
        <w:keepNext w:val="0"/>
        <w:keepLines w:val="0"/>
        <w:widowControl w:val="1"/>
      </w:pPr>
      <w:r>
        <w:rPr>
          <w:i/>
          <w:iCs/>
        </w:rPr>
        <w:t xml:space="preserve">Why it's needed.</w:t>
      </w:r>
      <w:r>
        <w:t xml:space="preserve"> </w:t>
      </w:r>
      <w:r>
        <w:t xml:space="preserve">The Viability head's labels at round 0 are produced by</w:t>
      </w:r>
      <w: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t xml:space="preserve"> </w:t>
      </w:r>
      <w:r>
        <w:t xml:space="preserve">(cf. §4.5). The Random Forest was trained on (labelled energetic corpus = positives, ZINC drug-like = negatives), a clean two-class boundary. The diffusion sampler, however, operates in</w:t>
      </w:r>
      <w:r>
        <w:t xml:space="preserve"> </w:t>
      </w:r>
      <w:r>
        <w:rPr>
          <w:i/>
          <w:iCs/>
        </w:rPr>
        <w:t xml:space="preserve">latent regions between</w:t>
      </w:r>
      <w:r>
        <w:t xml:space="preserve"> </w:t>
      </w:r>
      <w: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t xml:space="preserve"> </w:t>
      </w:r>
      <m:oMath>
        <m:sSub>
          <m:e>
            <m:r>
              <m:t>y</m:t>
            </m:r>
          </m:e>
          <m:sub>
            <m:r>
              <m:rPr>
                <m:nor/>
                <m:sty m:val="p"/>
              </m:rPr>
              <m:t>viab</m:t>
            </m:r>
          </m:sub>
        </m:sSub>
        <m:r>
          <m:rPr>
            <m:sty m:val="p"/>
          </m:rPr>
          <m:t>=</m:t>
        </m:r>
        <m:r>
          <m:t>0</m:t>
        </m:r>
      </m:oMath>
      <w:r>
        <w:t xml:space="preserve"> </w:t>
      </w:r>
      <w:r>
        <w:t xml:space="preserve">labels. The score model is trained over three rounds (Fig 12): round 0 trains on corpus only and mines 137 false-positive cheats via the SMARTS gate; round 1 trains on corpus + 137 cheats and mines up to 918 cumulative; round 2 trains on corpus + 918 cheats and is the production checkpoint. The held-out probe (7 anchors: RDX, HMX, TNT, FOX-7, PETN, TATB, NTO; 5 cheats: gem-tetranitro on C2, trinitromethane, gem-dinitrocyclopropane, polyazene-NO</w:t>
      </w:r>
      <w:r>
        <w:rPr>
          <w:vertAlign w:val="subscript"/>
        </w:rPr>
        <w:t xml:space="preserve">2</w:t>
      </w:r>
      <w:r>
        <w:t xml:space="preserve"> </w:t>
      </w:r>
      <w:r>
        <w:t xml:space="preserve">chain, dinitromethane) confirms anchors hold at 0.86–0.99 while cheats are demoted to 0.12–0.84. Appendix D.9 reports an early variant (137 cheats) versus the production variant (918 cheats).</w:t>
      </w:r>
    </w:p>
    <w:p>
      <w:pPr>
        <w:pStyle w:val="BodyText"/>
        <w:jc w:val="both"/>
        <w:keepNext w:val="0"/>
        <w:keepLines w:val="0"/>
        <w:widowControl w:val="1"/>
      </w:pPr>
      <w:r>
        <w:rPr>
          <w:i/>
          <w:iCs/>
        </w:rPr>
        <w:t xml:space="preserve">What's frozen vs trained.</w:t>
      </w:r>
      <w:r>
        <w:t xml:space="preserve"> </w:t>
      </w:r>
      <w: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t xml:space="preserve"> </w:t>
      </w:r>
      <w:r>
        <w:t xml:space="preserve">in their availability mask, §4.5). The score model after round 2 (corpus + 918 hard negatives) is the production checkpoint used in §5.</w:t>
      </w:r>
    </w:p>
    <w:p>
      <w:pPr>
        <w:pStyle w:val="BodyText"/>
        <w:jc w:val="both"/>
        <w:keepNext w:val="0"/>
        <w:keepLines w:val="0"/>
        <w:widowControl w:val="1"/>
      </w:pPr>
      <w:r>
        <w:rPr>
          <w:b/>
          <w:bCs/>
        </w:rPr>
        <w:t xml:space="preserve">Procedure summary.</w:t>
      </w:r>
      <w:r>
        <w:t xml:space="preserve"> </w:t>
      </w:r>
      <w:r>
        <w:t xml:space="preserve">The protocol of Fig 12 in five steps, repeated for at most three rounds:</w:t>
      </w:r>
    </w:p>
    <w:p>
      <w:pPr>
        <w:pStyle w:val="Compact"/>
        <w:numPr>
          <w:ilvl w:val="0"/>
          <w:numId w:val="1001"/>
        </w:numPr>
        <w:jc w:val="both"/>
        <w:keepNext w:val="0"/>
        <w:keepLines w:val="0"/>
        <w:widowControl w:val="1"/>
      </w:pPr>
      <w:r>
        <w:rPr>
          <w:b/>
          <w:bCs/>
        </w:rPr>
        <w:t xml:space="preserve">Train</w:t>
      </w:r>
      <w:r>
        <w:t xml:space="preserve"> </w:t>
      </w:r>
      <w:r>
        <w:t xml:space="preserve">the score model for</w:t>
      </w:r>
      <w:r>
        <w:t xml:space="preserve"> </w:t>
      </w:r>
      <m:oMath>
        <m:r>
          <m:rPr>
            <m:sty m:val="p"/>
          </m:rPr>
          <m:t>∼</m:t>
        </m:r>
      </m:oMath>
      <w:r>
        <w:t xml:space="preserve">40k AdamW steps on the labelled corpus plus all hard negatives accumulated so far (zero negatives in round 0).</w:t>
      </w:r>
    </w:p>
    <w:p>
      <w:pPr>
        <w:pStyle w:val="Compact"/>
        <w:numPr>
          <w:ilvl w:val="0"/>
          <w:numId w:val="1001"/>
        </w:numPr>
        <w:jc w:val="both"/>
        <w:keepNext w:val="0"/>
        <w:keepLines w:val="0"/>
        <w:widowControl w:val="1"/>
      </w:pPr>
      <w:r>
        <w:rPr>
          <w:b/>
          <w:bCs/>
        </w:rPr>
        <w:t xml:space="preserve">Probe</w:t>
      </w:r>
      <w:r>
        <w:t xml:space="preserve"> </w:t>
      </w:r>
      <w:r>
        <w:t xml:space="preserve">on a held-out 7-anchor / 5-cheat set; if all anchors score</w:t>
      </w:r>
      <w:r>
        <w:t xml:space="preserve"> </w:t>
      </w:r>
      <m:oMath>
        <m:r>
          <m:rPr>
            <m:sty m:val="p"/>
          </m:rPr>
          <m:t>≥</m:t>
        </m:r>
      </m:oMath>
      <w:r>
        <w:t xml:space="preserve"> </w:t>
      </w:r>
      <w:r>
        <w:t xml:space="preserve">0.86 and all cheats score</w:t>
      </w:r>
      <w:r>
        <w:t xml:space="preserve"> </w:t>
      </w:r>
      <m:oMath>
        <m:r>
          <m:rPr>
            <m:sty m:val="p"/>
          </m:rPr>
          <m:t>≤</m:t>
        </m:r>
      </m:oMath>
      <w:r>
        <w:t xml:space="preserve"> </w:t>
      </w:r>
      <w:r>
        <w:t xml:space="preserve">0.84, stop.</w:t>
      </w:r>
    </w:p>
    <w:p>
      <w:pPr>
        <w:pStyle w:val="Compact"/>
        <w:numPr>
          <w:ilvl w:val="0"/>
          <w:numId w:val="1001"/>
        </w:numPr>
        <w:jc w:val="both"/>
        <w:keepNext w:val="0"/>
        <w:keepLines w:val="0"/>
        <w:widowControl w:val="1"/>
      </w:pPr>
      <w:r>
        <w:rPr>
          <w:b/>
          <w:bCs/>
        </w:rPr>
        <w:t xml:space="preserve">Sample</w:t>
      </w:r>
      <w:r>
        <w:t xml:space="preserve"> </w:t>
      </w:r>
      <w:r>
        <w:t xml:space="preserve">a candidate pool from the diffusion model using the current score-model's guidance.</w:t>
      </w:r>
    </w:p>
    <w:p>
      <w:pPr>
        <w:pStyle w:val="Compact"/>
        <w:numPr>
          <w:ilvl w:val="0"/>
          <w:numId w:val="1001"/>
        </w:numPr>
        <w:jc w:val="both"/>
        <w:keepNext w:val="0"/>
        <w:keepLines w:val="0"/>
        <w:widowControl w:val="1"/>
      </w:pPr>
      <w:r>
        <w:rPr>
          <w:b/>
          <w:bCs/>
        </w:rPr>
        <w:t xml:space="preserve">Mine</w:t>
      </w:r>
      <w:r>
        <w:t xml:space="preserve"> </w:t>
      </w:r>
      <w:r>
        <w:t xml:space="preserve">false positives: high predicted viability but rejected by the chem-curated SMARTS gate.</w:t>
      </w:r>
    </w:p>
    <w:p>
      <w:pPr>
        <w:pStyle w:val="Compact"/>
        <w:numPr>
          <w:ilvl w:val="0"/>
          <w:numId w:val="1001"/>
        </w:numPr>
        <w:jc w:val="both"/>
        <w:keepNext w:val="0"/>
        <w:keepLines w:val="0"/>
        <w:widowControl w:val="1"/>
      </w:pPr>
      <w:r>
        <w:rPr>
          <w:b/>
          <w:bCs/>
        </w:rPr>
        <w:t xml:space="preserve">Encode</w:t>
      </w:r>
      <w:r>
        <w:t xml:space="preserve"> </w:t>
      </w:r>
      <w:r>
        <w:t xml:space="preserve">the mined cheats through the frozen LIMO encoder, label them viab</w:t>
      </w:r>
      <m:oMath>
        <m:r>
          <m:rPr>
            <m:sty m:val="p"/>
          </m:rPr>
          <m:t>=</m:t>
        </m:r>
      </m:oMath>
      <w:r>
        <w:t xml:space="preserve">0, and add them to the cumulative hard-negative set for the next round.</w:t>
      </w:r>
    </w:p>
    <w:p>
      <w:pPr>
        <w:pStyle w:val="FirstParagraph"/>
        <w:jc w:val="both"/>
        <w:keepNext w:val="0"/>
        <w:keepLines w:val="0"/>
        <w:widowControl w:val="1"/>
      </w:pPr>
      <w:r>
        <w:rPr>
          <w:b/>
          <w:bCs/>
        </w:rPr>
        <w:t xml:space="preserve">Why a teacher Random Forest rather than direct binary labels.</w:t>
      </w:r>
      <w:r>
        <w:t xml:space="preserve"> </w:t>
      </w:r>
      <w:r>
        <w:t xml:space="preserve">The score-model head trains on</w:t>
      </w:r>
      <w:r>
        <w:t xml:space="preserve"> </w:t>
      </w:r>
      <w:r>
        <w:rPr>
          <w:i/>
          <w:iCs/>
        </w:rPr>
        <w:t xml:space="preserve">noised</w:t>
      </w:r>
      <w:r>
        <w:t xml:space="preserve"> </w:t>
      </w:r>
      <w:r>
        <w:t xml:space="preserve">latents</w:t>
      </w:r>
      <w:r>
        <w:t xml:space="preserve"> </w:t>
      </w:r>
      <m:oMath>
        <m:sSub>
          <m:e>
            <m:r>
              <m:t>z</m:t>
            </m:r>
          </m:e>
          <m:sub>
            <m:r>
              <m:t>t</m:t>
            </m:r>
          </m:sub>
        </m:sSub>
      </m:oMath>
      <w:r>
        <w:t xml:space="preserve">, so we need a label-from-SMILES function that can be applied at</w:t>
      </w:r>
      <w:r>
        <w:t xml:space="preserve"> </w:t>
      </w:r>
      <m:oMath>
        <m:sSub>
          <m:e>
            <m:r>
              <m:t>z</m:t>
            </m:r>
          </m:e>
          <m:sub>
            <m:r>
              <m:t>0</m:t>
            </m:r>
          </m:sub>
        </m:sSub>
      </m:oMath>
      <w:r>
        <w:t xml:space="preserve"> </w:t>
      </w:r>
      <w: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t xml:space="preserve"> </w:t>
      </w:r>
      <m:oMath>
        <m:r>
          <m:rPr>
            <m:sty m:val="p"/>
          </m:rPr>
          <m:t>{</m:t>
        </m:r>
        <m:r>
          <m:t>0</m:t>
        </m:r>
        <m:r>
          <m:rPr>
            <m:sty m:val="p"/>
          </m:rPr>
          <m:t>,</m:t>
        </m:r>
        <m:r>
          <m:t>1</m:t>
        </m:r>
        <m:r>
          <m:rPr>
            <m:sty m:val="p"/>
          </m:rPr>
          <m:t>}</m:t>
        </m:r>
      </m:oMath>
      <w:r>
        <w:t xml:space="preserve"> </w:t>
      </w:r>
      <w: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BodyText"/>
        <w:jc w:val="both"/>
        <w:keepNext w:val="0"/>
        <w:keepLines w:val="0"/>
        <w:widowControl w:val="1"/>
      </w:pPr>
      <w:r>
        <w:t xml:space="preserve">Within a single call to</w:t>
      </w:r>
      <w:r>
        <w:t xml:space="preserve"> </w:t>
      </w:r>
      <w:r>
        <w:rPr>
          <w:rStyle w:val="VerbatimChar"/>
        </w:rPr>
        <w:t xml:space="preserve">train_score_model</w:t>
      </w:r>
      <w:r>
        <w:t xml:space="preserve"> </w:t>
      </w:r>
      <w:r>
        <w:t xml:space="preserve">the hard-negative set is fixed input data, indistinguishable from the labelled corpus rows; the only "self-distillation" is the outer-loop iteration where the</w:t>
      </w:r>
      <w:r>
        <w:t xml:space="preserve"> </w:t>
      </w:r>
      <w:r>
        <w:rPr>
          <w:i/>
          <w:iCs/>
        </w:rPr>
        <w:t xml:space="preserve">next</w:t>
      </w:r>
      <w:r>
        <w:t xml:space="preserve"> </w:t>
      </w:r>
      <w:r>
        <w:t xml:space="preserve">round's training data depends on the</w:t>
      </w:r>
      <w:r>
        <w:t xml:space="preserve"> </w:t>
      </w:r>
      <w:r>
        <w:rPr>
          <w:i/>
          <w:iCs/>
        </w:rPr>
        <w:t xml:space="preserve">current</w:t>
      </w:r>
      <w:r>
        <w:t xml:space="preserve"> </w:t>
      </w:r>
      <w:r>
        <w:t xml:space="preserve">round's model. Operational note: a third-party reproduction can skip rounds 0–1 entirely by loading the published 918 hard-negative latents (released alongside the labelled master, §7.1) and running only one round of</w:t>
      </w:r>
      <w:r>
        <w:t xml:space="preserve"> </w:t>
      </w:r>
      <w:r>
        <w:rPr>
          <w:rStyle w:val="VerbatimChar"/>
        </w:rPr>
        <w:t xml:space="preserve">train_score_model</w:t>
      </w:r>
      <w:r>
        <w:t xml:space="preserve"> </w:t>
      </w:r>
      <w:r>
        <w:t xml:space="preserve">with corpus + 918 negatives. This is the recipe used by the Zenodo-deposited production checkpoint.</w:t>
      </w:r>
    </w:p>
    <w:p>
      <w:pPr>
        <w:pStyle w:val="BodyText"/>
        <w:jc w:val="both"/>
        <w:keepNext w:val="0"/>
        <w:keepLines w:val="0"/>
        <w:widowControl w:val="1"/>
      </w:pPr>
      <w:r>
        <w:rPr>
          <w:b/>
          <w:bCs/>
        </w:rPr>
        <w:t xml:space="preserve">B.2 Sensitivity head: heuristic vs literature-grounded variants.</w:t>
      </w:r>
      <w:r>
        <w:t xml:space="preserve"> </w:t>
      </w:r>
      <w:r>
        <w:t xml:space="preserve">The default 5-head score model trains the sensitivity head against the hand-coded heuristic of Appendix B.2 (nitro density, open-chain N-NO</w:t>
      </w:r>
      <w:r>
        <w:rPr>
          <w:vertAlign w:val="subscript"/>
        </w:rPr>
        <w:t xml:space="preserve">2</w:t>
      </w:r>
      <w:r>
        <w:t xml:space="preserve"> </w:t>
      </w:r>
      <w: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vertAlign w:val="subscript"/>
        </w:rPr>
        <w:t xml:space="preserve">50</w:t>
      </w:r>
      <w:r>
        <w:t xml:space="preserve">) pairs from the Huang &amp; Massa compilation</w:t>
      </w:r>
      <w:r>
        <w:t xml:space="preserve"> </w:t>
      </w:r>
      <w:hyperlink w:anchor="ref-huang2021applying">
        <w:r>
          <w:rPr>
            <w:rStyle w:val="Hyperlink"/>
          </w:rPr>
          <w:t xml:space="preserve">[58a]</w:t>
        </w:r>
      </w:hyperlink>
      <w:r>
        <w:t xml:space="preserve"> </w:t>
      </w:r>
      <w:r>
        <w:t xml:space="preserve">mapped to a sigmoid sensitivity proxy in [0, 1] (h</w:t>
      </w:r>
      <w:r>
        <w:rPr>
          <w:vertAlign w:val="subscript"/>
        </w:rPr>
        <w:t xml:space="preserve">50</w:t>
      </w:r>
      <w:r>
        <w:t xml:space="preserve">=40 cm pivot, slope 1.5 in log-h</w:t>
      </w:r>
      <w:r>
        <w:rPr>
          <w:vertAlign w:val="subscript"/>
        </w:rPr>
        <w:t xml:space="preserve">50</w:t>
      </w:r>
      <w:r>
        <w:t xml:space="preserve"> </w:t>
      </w:r>
      <w:r>
        <w:t xml:space="preserve">units). Training mixes a smooth-L1 loss on the 276-row h</w:t>
      </w:r>
      <w:r>
        <w:rPr>
          <w:vertAlign w:val="subscript"/>
        </w:rPr>
        <w:t xml:space="preserve">50</w:t>
      </w:r>
      <w:r>
        <w:t xml:space="preserve"> </w:t>
      </w:r>
      <w:r>
        <w:t xml:space="preserve">train split with a teacher regulariser pulling the new head toward the default-head prediction on 383 k auxiliary latents, weighted 1.0:0.25. The retrained head reaches Pearson</w:t>
      </w:r>
      <w:r>
        <w:t xml:space="preserve"> </w:t>
      </w:r>
      <w:r>
        <w:rPr>
          <w:i/>
          <w:iCs/>
        </w:rPr>
        <w:t xml:space="preserve">r</w:t>
      </w:r>
      <w:r>
        <w:t xml:space="preserve">=+0.71 on a 30-row held-out h</w:t>
      </w:r>
      <w:r>
        <w:rPr>
          <w:vertAlign w:val="subscript"/>
        </w:rPr>
        <w:t xml:space="preserve">50</w:t>
      </w:r>
      <w:r>
        <w:t xml:space="preserve"> </w:t>
      </w:r>
      <w:r>
        <w:t xml:space="preserve">split and produces qualitatively correct relative orderings on a 5-anchor smoke test (TATB, h</w:t>
      </w:r>
      <w:r>
        <w:rPr>
          <w:vertAlign w:val="subscript"/>
        </w:rPr>
        <w:t xml:space="preserve">50</w:t>
      </w:r>
      <w:r>
        <w:t xml:space="preserve">~490 cm, scored 0.37; trinitro-isoxazole lead scored 0.55). The literature-grounded variant is a drop-in replacement for the default score model at sample time.</w:t>
      </w:r>
    </w:p>
    <w:p>
      <w:pPr>
        <w:pStyle w:val="BodyText"/>
        <w:jc w:val="both"/>
        <w:keepNext w:val="0"/>
        <w:keepLines w:val="0"/>
        <w:widowControl w:val="1"/>
      </w:pPr>
      <w:r>
        <w:rPr>
          <w:b/>
          <w:bCs/>
        </w:rPr>
        <w:t xml:space="preserve">B.3 Per-head gradient-norm rebalancing (optional).</w:t>
      </w:r>
      <w:r>
        <w:t xml:space="preserve"> </w:t>
      </w:r>
      <w:r>
        <w:t xml:space="preserve">Different heads naturally produce different gradient magnitudes (sigmoid logits</w:t>
      </w:r>
      <w:r>
        <w:t xml:space="preserve"> </w:t>
      </w:r>
      <m:oMath>
        <m:r>
          <m:rPr>
            <m:sty m:val="p"/>
          </m:rPr>
          <m:t>∼</m:t>
        </m:r>
      </m:oMath>
      <w:r>
        <w:t xml:space="preserve">0.5; smooth-L1 z-scores</w:t>
      </w:r>
      <w:r>
        <w:t xml:space="preserve"> </w:t>
      </w:r>
      <m:oMath>
        <m:r>
          <m:rPr>
            <m:sty m:val="p"/>
          </m:rPr>
          <m:t>∼</m:t>
        </m:r>
      </m:oMath>
      <w:r>
        <w:t xml:space="preserve">2.0); the raw per-head scales</w:t>
      </w:r>
      <w:r>
        <w:t xml:space="preserve"> </w:t>
      </w:r>
      <m:oMath>
        <m:sSub>
          <m:e>
            <m:r>
              <m:t>s</m:t>
            </m:r>
          </m:e>
          <m:sub>
            <m:r>
              <m:t>k</m:t>
            </m:r>
          </m:sub>
        </m:sSub>
      </m:oMath>
      <w:r>
        <w:t xml:space="preserve"> </w:t>
      </w:r>
      <w:r>
        <w:t xml:space="preserve">therefore conflate "head importance" with "head gradient magnitude." We add an optional</w:t>
      </w:r>
      <w:r>
        <w:t xml:space="preserve"> </w:t>
      </w:r>
      <w:r>
        <w:rPr>
          <w:i/>
          <w:iCs/>
        </w:rPr>
        <w:t xml:space="preserve">unit-norm rebalancing</w:t>
      </w:r>
      <w:r>
        <w:t xml:space="preserve">: each head's gradient is normalised per-row before scaling, so</w:t>
      </w:r>
      <w:r>
        <w:t xml:space="preserve"> </w:t>
      </w:r>
      <m:oMath>
        <m:sSub>
          <m:e>
            <m:r>
              <m:t>s</m:t>
            </m:r>
          </m:e>
          <m:sub>
            <m:r>
              <m:t>k</m:t>
            </m:r>
          </m:sub>
        </m:sSub>
      </m:oMath>
      <w:r>
        <w:t xml:space="preserve"> </w:t>
      </w:r>
      <w:r>
        <w:t xml:space="preserve">cleanly controls steering weight. This makes the head-scale ablation cleanly interpretable; it is a no-op when only one head is active.</w:t>
      </w:r>
    </w:p>
    <w:p>
      <w:pPr>
        <w:pStyle w:val="BodyText"/>
        <w:jc w:val="both"/>
        <w:keepNext w:val="0"/>
        <w:keepLines w:val="0"/>
        <w:widowControl w:val="1"/>
      </w:pPr>
      <w:r>
        <w:rPr>
          <w:b/>
          <w:bCs/>
        </w:rPr>
        <w:t xml:space="preserve">B.4 Drug-domain transfer heads (SA, SC).</w:t>
      </w:r>
      <w:r>
        <w:t xml:space="preserve"> </w:t>
      </w:r>
      <w: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3D-CNN smoke ensemble trained on Tier-A/B labelled energetic compounds). The remaining two heads,</w:t>
      </w:r>
      <w:r>
        <w:t xml:space="preserve"> </w:t>
      </w:r>
      <w:r>
        <w:rPr>
          <w:b/>
          <w:bCs/>
        </w:rPr>
        <w:t xml:space="preserve">SA</w:t>
      </w:r>
      <w:r>
        <w:t xml:space="preserve"> </w:t>
      </w:r>
      <w:r>
        <w:t xml:space="preserve">(Ertl synthetic-accessibility regression, label source RDKit's</w:t>
      </w:r>
      <w:r>
        <w:t xml:space="preserve"> </w:t>
      </w:r>
      <w:r>
        <w:rPr>
          <w:rStyle w:val="VerbatimChar"/>
        </w:rPr>
        <w:t xml:space="preserve">sascorer.py</w:t>
      </w:r>
      <w:r>
        <w:t xml:space="preserve">) and</w:t>
      </w:r>
      <w:r>
        <w:t xml:space="preserve"> </w:t>
      </w:r>
      <w:r>
        <w:rPr>
          <w:b/>
          <w:bCs/>
        </w:rPr>
        <w:t xml:space="preserve">SC</w:t>
      </w:r>
      <w:r>
        <w:t xml:space="preserve"> </w:t>
      </w:r>
      <w:r>
        <w:t xml:space="preserve">(Coley SCScore retrosynthetic-complexity regression, label source Coley's pretrained SCScorer), are</w:t>
      </w:r>
      <w:r>
        <w:t xml:space="preserve"> </w:t>
      </w:r>
      <w:r>
        <w:rPr>
          <w:b/>
          <w:bCs/>
        </w:rPr>
        <w:t xml:space="preserve">auxiliary multi-task heads (Performance, SA, SC)</w:t>
      </w:r>
      <w: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BodyText"/>
        <w:jc w:val="both"/>
        <w:keepNext w:val="0"/>
        <w:keepLines w:val="0"/>
        <w:widowControl w:val="1"/>
      </w:pPr>
      <w:r>
        <w:rPr>
          <w:b/>
          <w:bCs/>
        </w:rPr>
        <w:t xml:space="preserve">Empirical sample-time evaluation.</w:t>
      </w:r>
      <w:r>
        <w:t xml:space="preserve"> </w:t>
      </w:r>
      <w:r>
        <w:t xml:space="preserve">SA was tested at sample time in the §F.4 SA-axis matrix at</w:t>
      </w:r>
      <w:r>
        <w:t xml:space="preserve"> </w:t>
      </w:r>
      <m:oMath>
        <m:sSub>
          <m:e>
            <m:r>
              <m:t>s</m:t>
            </m:r>
          </m:e>
          <m:sub>
            <m:r>
              <m:rPr>
                <m:nor/>
                <m:sty m:val="p"/>
              </m:rPr>
              <m:t>SA</m:t>
            </m:r>
          </m:sub>
        </m:sSub>
        <m:r>
          <m:rPr>
            <m:sty m:val="p"/>
          </m:rPr>
          <m:t>=</m:t>
        </m:r>
        <m:r>
          <m:t>0.15</m:t>
        </m:r>
      </m:oMath>
      <w:r>
        <w:t xml:space="preserve">. The result: turning SA-gradient on raised the top-1 composite penalty from 0.618</w:t>
      </w:r>
      <w:r>
        <w:t xml:space="preserve"> </w:t>
      </w:r>
      <m:oMath>
        <m:r>
          <m:rPr>
            <m:sty m:val="p"/>
          </m:rPr>
          <m:t>±</m:t>
        </m:r>
      </m:oMath>
      <w:r>
        <w:t xml:space="preserve"> </w:t>
      </w:r>
      <w:r>
        <w:t xml:space="preserve">0.056 (SA-C2 viab+sens, no SA) to 0.698</w:t>
      </w:r>
      <w:r>
        <w:t xml:space="preserve"> </w:t>
      </w:r>
      <m:oMath>
        <m:r>
          <m:rPr>
            <m:sty m:val="p"/>
          </m:rPr>
          <m:t>±</m:t>
        </m:r>
      </m:oMath>
      <w:r>
        <w:t xml:space="preserve"> </w:t>
      </w:r>
      <w:r>
        <w:t xml:space="preserve">0.015 (SA-C3 viab+sens+SA), a 0.080 (13 %)</w:t>
      </w:r>
      <w:r>
        <w:t xml:space="preserve"> </w:t>
      </w:r>
      <w:r>
        <w:rPr>
          <w:i/>
          <w:iCs/>
        </w:rPr>
        <w:t xml:space="preserve">worsening</w:t>
      </w:r>
      <w:r>
        <w:t xml:space="preserve">. The interpretation is that the drug-domain SA score actively penalises the very chemotype family the diffusion sampler is targeted at. Production therefore uses</w:t>
      </w:r>
      <w:r>
        <w:t xml:space="preserve"> </w:t>
      </w:r>
      <m:oMath>
        <m:sSub>
          <m:e>
            <m:r>
              <m:t>s</m:t>
            </m:r>
          </m:e>
          <m:sub>
            <m:r>
              <m:rPr>
                <m:nor/>
                <m:sty m:val="p"/>
              </m:rPr>
              <m:t>SA</m:t>
            </m:r>
          </m:sub>
        </m:sSub>
        <m:r>
          <m:rPr>
            <m:sty m:val="p"/>
          </m:rPr>
          <m:t>=</m:t>
        </m:r>
        <m:r>
          <m:t>0</m:t>
        </m:r>
      </m:oMath>
      <w:r>
        <w:t xml:space="preserve">. SC was retained as an architectural slot in the production score model for backward-compatibility with the 5-head predecessor (Appendix B.1) but was never plumbed into the sample-time gradient sum (no</w:t>
      </w:r>
      <w:r>
        <w:t xml:space="preserve"> </w:t>
      </w:r>
      <m:oMath>
        <m:sSub>
          <m:e>
            <m:r>
              <m:t>s</m:t>
            </m:r>
          </m:e>
          <m:sub>
            <m:r>
              <m:rPr>
                <m:nor/>
                <m:sty m:val="p"/>
              </m:rPr>
              <m:t>SC</m:t>
            </m:r>
          </m:sub>
        </m:sSub>
      </m:oMath>
      <w:r>
        <w:t xml:space="preserve"> </w:t>
      </w:r>
      <w:r>
        <w:t xml:space="preserve">is defined at sample time anywhere in the codebase or experiments); we make no empirical claim about its sample-time utility in this domain. The natural follow-up ablation, sweeping</w:t>
      </w:r>
      <w:r>
        <w:t xml:space="preserve"> </w:t>
      </w:r>
      <m:oMath>
        <m:sSub>
          <m:e>
            <m:r>
              <m:t>s</m:t>
            </m:r>
          </m:e>
          <m:sub>
            <m:r>
              <m:rPr>
                <m:nor/>
                <m:sty m:val="p"/>
              </m:rPr>
              <m:t>SC</m:t>
            </m:r>
          </m:sub>
        </m:sSub>
      </m:oMath>
      <w:r>
        <w:t xml:space="preserve"> </w:t>
      </w:r>
      <w:r>
        <w:t xml:space="preserve">at non-zero values to test whether the drug-domain SC label has a similar inversion effect to SA, is left to future work.</w:t>
      </w:r>
    </w:p>
    <w:p>
      <w:pPr>
        <w:pStyle w:val="BodyText"/>
        <w:jc w:val="both"/>
        <w:keepNext w:val="0"/>
        <w:keepLines w:val="0"/>
        <w:widowControl w:val="1"/>
      </w:pPr>
      <w:r>
        <w:rPr>
          <w:b/>
          <w:bCs/>
        </w:rPr>
        <w:t xml:space="preserve">Why retain the heads.</w:t>
      </w:r>
      <w:r>
        <w:t xml:space="preserve"> </w:t>
      </w:r>
      <w:r>
        <w:t xml:space="preserve">Both SA and SC heads share the 1024-d trunk used by the four domain-native heads; their trained weights add</w:t>
      </w:r>
      <w:r>
        <w:t xml:space="preserve"> </w:t>
      </w:r>
      <m:oMath>
        <m:r>
          <m:rPr>
            <m:sty m:val="p"/>
          </m:rPr>
          <m:t>∼</m:t>
        </m:r>
      </m:oMath>
      <w:r>
        <w:t xml:space="preserve">2</w:t>
      </w:r>
      <w:r>
        <w:t xml:space="preserve"> </w:t>
      </w:r>
      <m:oMath>
        <m:r>
          <m:rPr>
            <m:sty m:val="p"/>
          </m:rPr>
          <m:t>×</m:t>
        </m:r>
      </m:oMath>
      <w:r>
        <w:t xml:space="preserve"> </w:t>
      </w:r>
      <w:r>
        <w:t xml:space="preserve">256k parameters (negligible against the</w:t>
      </w:r>
      <w:r>
        <w:t xml:space="preserve"> </w:t>
      </w:r>
      <m:oMath>
        <m:r>
          <m:rPr>
            <m:sty m:val="p"/>
          </m:rPr>
          <m:t>∼</m:t>
        </m:r>
      </m:oMath>
      <w: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BodyText"/>
        <w:jc w:val="both"/>
        <w:keepNext w:val="0"/>
        <w:keepLines w:val="0"/>
        <w:widowControl w:val="1"/>
      </w:pPr>
      <w:r>
        <w:rPr>
          <w:b/>
          <w:bCs/>
        </w:rPr>
        <w:t xml:space="preserve">Cross-references.</w:t>
      </w:r>
      <w:r>
        <w:t xml:space="preserve"> </w:t>
      </w:r>
      <w:r>
        <w:t xml:space="preserve">The same SA / SC story appears in three places relevant to the headline: §4.7 Architecture (drug-domain transfer paragraph); §4.7 Sample-time gradient (the "Why</w:t>
      </w:r>
      <w:r>
        <w:t xml:space="preserve"> </w:t>
      </w:r>
      <m:oMath>
        <m:sSub>
          <m:e>
            <m:r>
              <m:t>s</m:t>
            </m:r>
          </m:e>
          <m:sub>
            <m:r>
              <m:rPr>
                <m:nor/>
                <m:sty m:val="p"/>
              </m:rPr>
              <m:t>SA</m:t>
            </m:r>
          </m:sub>
        </m:sSub>
        <m:r>
          <m:rPr>
            <m:sty m:val="p"/>
          </m:rPr>
          <m:t>=</m:t>
        </m:r>
        <m:r>
          <m:t>0</m:t>
        </m:r>
      </m:oMath>
      <w:r>
        <w:t xml:space="preserve"> </w:t>
      </w:r>
      <w:r>
        <w:t xml:space="preserve">and where SC is" paragraph); §F.4 Multi-seed pattern (the SA-C3-vs-SA-C2 numerical result). This appendix consolidates them.</w:t>
      </w:r>
    </w:p>
    <w:bookmarkStart w:id="18" w:name="b.5-production-recipe-table-b.5"/>
    <w:p>
      <w:pPr>
        <w:pStyle w:val="Heading4"/>
        <w:keepNext/>
        <w:keepLines/>
        <w:widowControl w:val="1"/>
      </w:pPr>
      <w:r>
        <w:t xml:space="preserve">B.5 Production recipe (Table B.5)</w:t>
      </w:r>
    </w:p>
    <w:p>
      <w:pPr>
        <w:pStyle w:val="FirstParagraph"/>
        <w:jc w:val="both"/>
        <w:keepNext w:val="0"/>
        <w:keepLines w:val="0"/>
        <w:widowControl w:val="1"/>
      </w:pPr>
      <w:r>
        <w:t xml:space="preserve">Complete configuration used throughout §5.2–§5.5. Each knob traces to the §5.6 ablation (or §4.12 hyperparameter sweep) that selected it.</w:t>
      </w:r>
    </w:p>
    <w:bookmarkStart w:id="17" w:name="table-c5"/>
    <w:p>
      <w:pPr>
        <w:pStyle w:val="BodyText"/>
        <w:jc w:val="both"/>
        <w:keepNext w:val="0"/>
        <w:keepLines w:val="0"/>
        <w:widowControl w:val="1"/>
      </w:pPr>
      <w:r>
        <w:rPr>
          <w:b/>
          <w:bCs/>
        </w:rPr>
        <w:t xml:space="preserve">Table B.5.</w:t>
      </w:r>
      <w:r>
        <w:t xml:space="preserve"> </w:t>
      </w:r>
      <w: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Generative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LIMO VAE + conditional latent DDPM with classifier-free guidance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Denoiser ensemble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DGLD-H + DGLD-P, pools fused post-decode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§4.5; §F.4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CFG scale w</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§4.12, Fig 16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DDIM steps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prior-art default; not separately swept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Pool size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m:t>
              </m:r>
            </m:oMath>
            <w:r>
              <w:rPr>
                <w:rFonts w:ascii="Times New Roman" w:hAnsi="Times New Roman"/>
                <w:sz w:val="20"/>
              </w:rPr>
              <w:t xml:space="preserve"> </w:t>
            </w:r>
            <w:r>
              <w:rPr>
                <w:rFonts w:ascii="Times New Roman" w:hAnsi="Times New Roman"/>
                <w:sz w:val="20"/>
              </w:rPr>
              <w:t xml:space="preserve">40k per denoiser, fused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§F.5; §4.12, Fig 17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Score-model training</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4-block FiLM-MLP trunk, 6 heads, multi-task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 §F.1 (HN budget = 918)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Active steering heads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Viability (</w:t>
            </w:r>
            <m:oMath>
              <m:r>
                <m:t>s</m:t>
              </m:r>
              <m:r>
                <m:rPr>
                  <m:sty m:val="p"/>
                </m:rPr>
                <m:t>=</m:t>
              </m:r>
              <m:r>
                <m:t>1.0</m:t>
              </m:r>
            </m:oMath>
            <w:r>
              <w:rPr>
                <w:rFonts w:ascii="Times New Roman" w:hAnsi="Times New Roman"/>
                <w:sz w:val="20"/>
              </w:rPr>
              <w:t xml:space="preserve">), Sensitivity (</w:t>
            </w:r>
            <m:oMath>
              <m:r>
                <m:t>s</m:t>
              </m:r>
              <m:r>
                <m:rPr>
                  <m:sty m:val="p"/>
                </m:rPr>
                <m:t>=</m:t>
              </m:r>
              <m:r>
                <m:t>0.3</m:t>
              </m:r>
            </m:oMath>
            <w:r>
              <w:rPr>
                <w:rFonts w:ascii="Times New Roman" w:hAnsi="Times New Roman"/>
                <w:sz w:val="20"/>
              </w:rPr>
              <w:t xml:space="preserve">), Hazard (</w:t>
            </w:r>
            <m:oMath>
              <m:r>
                <m:t>s</m:t>
              </m:r>
              <m:r>
                <m:rPr>
                  <m:sty m:val="p"/>
                </m:rPr>
                <m:t>=</m:t>
              </m:r>
              <m:r>
                <m:t>1.0</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§F.3, §F.4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Inactive heads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Performance, SA, SC (auxiliary multi-task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Anneal / clamp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20"/>
              </w:rPr>
              <w:t xml:space="preserve">,</w:t>
            </w:r>
            <w:r>
              <w:rPr>
                <w:rFonts w:ascii="Times New Roman" w:hAnsi="Times New Roman"/>
                <w:sz w:val="20"/>
              </w:rPr>
              <w:t xml:space="preserve"> </w:t>
            </w:r>
            <m:oMath>
              <m:sSub>
                <m:e>
                  <m:r>
                    <m:t>C</m:t>
                  </m:r>
                </m:e>
                <m:sub>
                  <m:r>
                    <m:t>g</m:t>
                  </m:r>
                </m:sub>
              </m:sSub>
              <m:r>
                <m:rPr>
                  <m:sty m:val="p"/>
                </m:rPr>
                <m:t>=</m:t>
              </m:r>
              <m:r>
                <m:t>50</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 Appendix D.5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Chemist-curated SMARTS gate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Pareto reranker on 4 axes, composite tie-break, top-K = 100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GFN2-xTB, HOMO–LUMO gap</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1.5 eV</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§4.10; chemist-set threshold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DFT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B3LYP/6-31G(d) opt +</w:t>
            </w:r>
            <w:r>
              <w:rPr>
                <w:rFonts w:ascii="Times New Roman" w:hAnsi="Times New Roman"/>
                <w:sz w:val="20"/>
              </w:rPr>
              <w:t xml:space="preserve"> </w:t>
            </w:r>
            <m:oMath>
              <m:r>
                <m:t>ω</m:t>
              </m:r>
            </m:oMath>
            <w:r>
              <w:rPr>
                <w:rFonts w:ascii="Times New Roman" w:hAnsi="Times New Roman"/>
                <w:sz w:val="20"/>
              </w:rPr>
              <w:t xml:space="preserve">B97X-D3BJ/def2-TZVP single-point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§4.10; Appendix C.1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calibration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6-anchor LOO fit:</w:t>
            </w:r>
            <w:r>
              <w:rPr>
                <w:rFonts w:ascii="Times New Roman" w:hAnsi="Times New Roman"/>
                <w:sz w:val="20"/>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20"/>
              </w:rPr>
              <w:t xml:space="preserve">, HOF</w:t>
            </w:r>
            <m:oMath>
              <m:sSub>
                <m:e>
                  <m:r>
                    <m:t>​</m:t>
                  </m:r>
                </m:e>
                <m:sub>
                  <m:r>
                    <m:rPr>
                      <m:nor/>
                      <m:sty m:val="p"/>
                    </m:rPr>
                    <m:t>cal</m:t>
                  </m:r>
                </m:sub>
              </m:sSub>
            </m:oMath>
            <w:r>
              <w:rPr>
                <w:rFonts w:ascii="Times New Roman" w:hAnsi="Times New Roman"/>
                <w:sz w:val="20"/>
              </w:rPr>
              <w:t xml:space="preserve"> </w:t>
            </w:r>
            <w:r>
              <w:rPr>
                <w:rFonts w:ascii="Times New Roman" w:hAnsi="Times New Roman"/>
                <w:sz w:val="20"/>
              </w:rPr>
              <w:t xml:space="preserve">= HOF</w:t>
            </w:r>
            <m:oMath>
              <m:sSub>
                <m:e>
                  <m:r>
                    <m:t>​</m:t>
                  </m:r>
                </m:e>
                <m:sub>
                  <m:r>
                    <m:rPr>
                      <m:nor/>
                      <m:sty m:val="p"/>
                    </m:rPr>
                    <m:t>DFT</m:t>
                  </m:r>
                </m:sub>
              </m:sSub>
              <m:r>
                <m:rPr>
                  <m:sty m:val="p"/>
                </m:rPr>
                <m:t>−</m:t>
              </m:r>
              <m:r>
                <m:t>206.7</m:t>
              </m:r>
            </m:oMath>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 Appendix C.4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Filter Stage 4 – K-J recompute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Closed-form K-J on calibrated</w:t>
            </w:r>
            <w:r>
              <w:rPr>
                <w:rFonts w:ascii="Times New Roman" w:hAnsi="Times New Roman"/>
                <w:sz w:val="20"/>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20"/>
              </w:rPr>
              <w:t xml:space="preserve">; ranking-grade 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 Appendix C.5</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Reranker property scoring</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perf_score(</w:t>
            </w:r>
            <m:oMath>
              <m:r>
                <m:t>ρ</m:t>
              </m:r>
            </m:oMath>
            <w:r>
              <w:rPr>
                <w:rStyle w:val="VerbatimChar"/>
                <w:rFonts w:ascii="Times New Roman" w:hAnsi="Times New Roman"/>
                <w:sz w:val="20"/>
              </w:rPr>
              <w:t xml:space="preserve">, HOF, </w:t>
            </w:r>
            <m:oMath>
              <m:r>
                <m:t>D</m:t>
              </m:r>
            </m:oMath>
            <w:r>
              <w:rPr>
                <w:rStyle w:val="VerbatimChar"/>
                <w:rFonts w:ascii="Times New Roman" w:hAnsi="Times New Roman"/>
                <w:sz w:val="20"/>
              </w:rPr>
              <w:t xml:space="preserve">, </w:t>
            </w:r>
            <m:oMath>
              <m:r>
                <m:t>P</m:t>
              </m:r>
            </m:oMath>
            <w:r>
              <w:rPr>
                <w:rStyle w:val="VerbatimChar"/>
                <w:rFonts w:ascii="Times New Roman" w:hAnsi="Times New Roman"/>
                <w:sz w:val="20"/>
              </w:rPr>
              <w:t xml:space="preserve">)</w:t>
            </w:r>
            <w:r>
              <w:rPr>
                <w:rFonts w:ascii="Times New Roman" w:hAnsi="Times New Roman"/>
                <w:sz w:val="20"/>
              </w:rPr>
              <w:t xml:space="preserve"> </w:t>
            </w:r>
            <w:r>
              <w:rPr>
                <w:rFonts w:ascii="Times New Roman" w:hAnsi="Times New Roman"/>
                <w:sz w:val="20"/>
              </w:rPr>
              <w:t xml:space="preserve">ramp on 3D-CNN smoke ensemble outputs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§4.10</w:t>
            </w:r>
          </w:p>
        </w:tc>
      </w:tr>
    </w:tbl>
    <w:bookmarkEnd w:id="17"/>
    <w:bookmarkEnd w:id="18"/>
    <w:bookmarkEnd w:id="19"/>
    <w:bookmarkStart w:id="21" w:name="X7e317108d30eb1339186cc7c3dfc8e61aec6ead"/>
    <w:p>
      <w:pPr>
        <w:pStyle w:val="Heading3"/>
        <w:keepNext/>
        <w:keepLines/>
        <w:widowControl w:val="1"/>
      </w:pPr>
      <w:r>
        <w:t xml:space="preserve">C. First-principles audit (DFT) methodology and uncertainty bounds</w:t>
      </w:r>
    </w:p>
    <w:p>
      <w:pPr>
        <w:pStyle w:val="FirstParagraph"/>
        <w:jc w:val="both"/>
        <w:keepNext w:val="0"/>
        <w:keepLines w:val="0"/>
        <w:widowControl w:val="1"/>
      </w:pPr>
      <w: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BodyText"/>
        <w:jc w:val="both"/>
        <w:keepNext w:val="0"/>
        <w:keepLines w:val="0"/>
        <w:widowControl w:val="1"/>
      </w:pPr>
      <w:r>
        <w:rPr>
          <w:b/>
          <w:bCs/>
        </w:rPr>
        <w:t xml:space="preserve">C.1 Functional and basis-set choice.</w:t>
      </w:r>
      <w:r>
        <w:t xml:space="preserve"> </w:t>
      </w:r>
      <w:r>
        <w:t xml:space="preserve">We use B3LYP/6-31G(d) for geometry optimisation and</w:t>
      </w:r>
      <w:r>
        <w:t xml:space="preserve"> </w:t>
      </w:r>
      <m:oMath>
        <m:r>
          <m:t>ω</m:t>
        </m:r>
      </m:oMath>
      <w:r>
        <w:t xml:space="preserve">B97X-D3BJ/def2-TZVP for the single-point energy on the optimised geometry. The B3LYP/6-31G(d) geometry is a long-standing standard for CHNO molecules (Casey et al.</w:t>
      </w:r>
      <w:r>
        <w:t xml:space="preserve"> </w:t>
      </w:r>
      <w:hyperlink w:anchor="ref-casey2020prediction">
        <w:r>
          <w:rPr>
            <w:rStyle w:val="Hyperlink"/>
          </w:rPr>
          <w:t xml:space="preserve">[15]</w:t>
        </w:r>
      </w:hyperlink>
      <w:r>
        <w:t xml:space="preserve"> </w:t>
      </w:r>
      <w:r>
        <w:t xml:space="preserve">use the same level for the 3D-CNN training labels we calibrate against), and the</w:t>
      </w:r>
      <w:r>
        <w:t xml:space="preserve"> </w:t>
      </w:r>
      <m:oMath>
        <m:r>
          <m:t>ω</m:t>
        </m:r>
      </m:oMath>
      <w: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t xml:space="preserve"> </w:t>
      </w:r>
      <m:oMath>
        <m:r>
          <m:t>ω</m:t>
        </m:r>
      </m:oMath>
      <w:r>
        <w:t xml:space="preserve">B97M-V or B97M-V might offer marginal further accuracy gains (</w:t>
      </w:r>
      <m:oMath>
        <m:r>
          <m:rPr>
            <m:sty m:val="p"/>
          </m:rPr>
          <m:t>∼</m:t>
        </m:r>
      </m:oMath>
      <w: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t xml:space="preserve"> </w:t>
      </w:r>
      <m:oMath>
        <m:r>
          <m:rPr>
            <m:sty m:val="p"/>
          </m:rPr>
          <m:t>∼</m:t>
        </m:r>
      </m:oMath>
      <w: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BodyText"/>
        <w:jc w:val="both"/>
        <w:keepNext w:val="0"/>
        <w:keepLines w:val="0"/>
        <w:widowControl w:val="1"/>
      </w:pPr>
      <w:r>
        <w:rPr>
          <w:b/>
          <w:bCs/>
        </w:rPr>
        <w:t xml:space="preserve">C.2 Thermal correction to 298 K.</w:t>
      </w:r>
      <w:r>
        <w:t xml:space="preserve"> </w:t>
      </w:r>
      <w:r>
        <w:t xml:space="preserve">All HOFs in §5.3 are reported at 0 K (atomization-energy method gives</w:t>
      </w:r>
      <w:r>
        <w:t xml:space="preserve"> </w:t>
      </w:r>
      <m:oMath>
        <m:r>
          <m:rPr>
            <m:sty m:val="p"/>
          </m:rPr>
          <m:t>Δ</m:t>
        </m:r>
        <m:sSubSup>
          <m:e>
            <m:r>
              <m:t>H</m:t>
            </m:r>
          </m:e>
          <m:sub>
            <m:r>
              <m:t>f</m:t>
            </m:r>
          </m:sub>
          <m:sup>
            <m:r>
              <m:t>0</m:t>
            </m:r>
            <m:r>
              <m:t> </m:t>
            </m:r>
            <m:r>
              <m:rPr>
                <m:nor/>
                <m:sty m:val="p"/>
              </m:rPr>
              <m:t>K</m:t>
            </m:r>
          </m:sup>
        </m:sSubSup>
      </m:oMath>
      <w:r>
        <w:t xml:space="preserve">). The thermal correction</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for an isolated nonlinear ideal-gas molecule is dominated by 4 RT (translational + rotational + PV term</w:t>
      </w:r>
      <w:r>
        <w:t xml:space="preserve"> </w:t>
      </w:r>
      <m:oMath>
        <m:r>
          <m:rPr>
            <m:sty m:val="p"/>
          </m:rPr>
          <m:t>=</m:t>
        </m:r>
      </m:oMath>
      <w:r>
        <w:t xml:space="preserve"> </w:t>
      </w:r>
      <m:oMath>
        <m:r>
          <m:rPr>
            <m:sty m:val="p"/>
          </m:rPr>
          <m:t>∼</m:t>
        </m:r>
      </m:oMath>
      <w:r>
        <w:t xml:space="preserve">9.9 kJ/mol) plus a small low-frequency-vibration contribution (each mode</w:t>
      </w:r>
      <w:r>
        <w:t xml:space="preserve"> </w:t>
      </w:r>
      <m:oMath>
        <m:r>
          <m:rPr>
            <m:sty m:val="p"/>
          </m:rPr>
          <m:t>&lt;</m:t>
        </m:r>
        <m:r>
          <m:t>200</m:t>
        </m:r>
      </m:oMath>
      <w:r>
        <w:t xml:space="preserve"> </w:t>
      </w:r>
      <w:r>
        <w:t xml:space="preserve">cm</w:t>
      </w:r>
      <w:r>
        <w:rPr>
          <w:vertAlign w:val="superscript"/>
        </w:rPr>
        <w:t xml:space="preserve">−1</w:t>
      </w:r>
      <w:r>
        <w:t xml:space="preserve"> </w:t>
      </w:r>
      <w:r>
        <w:t xml:space="preserve">contributes</w:t>
      </w:r>
      <w:r>
        <w:t xml:space="preserve"> </w:t>
      </w:r>
      <m:oMath>
        <m:r>
          <m:rPr>
            <m:sty m:val="p"/>
          </m:rPr>
          <m:t>∼</m:t>
        </m:r>
      </m:oMath>
      <w:r>
        <w:t xml:space="preserve">RT</w:t>
      </w:r>
      <w:r>
        <w:t xml:space="preserve"> </w:t>
      </w:r>
      <m:oMath>
        <m:r>
          <m:rPr>
            <m:sty m:val="p"/>
          </m:rPr>
          <m:t>=</m:t>
        </m:r>
      </m:oMath>
      <w:r>
        <w:t xml:space="preserve"> </w:t>
      </w:r>
      <w:r>
        <w:t xml:space="preserve">2.5 kJ/mol). For our top-10 leads with 0–6 low-frequency modes each,</w:t>
      </w:r>
      <w:r>
        <w:t xml:space="preserve"> </w:t>
      </w:r>
      <m:oMath>
        <m:r>
          <m:t>H</m:t>
        </m:r>
        <m:r>
          <m:rPr>
            <m:sty m:val="p"/>
          </m:rPr>
          <m:t>(</m:t>
        </m:r>
        <m:r>
          <m:t>298</m:t>
        </m:r>
        <m:r>
          <m:rPr>
            <m:sty m:val="p"/>
          </m:rPr>
          <m:t>)</m:t>
        </m:r>
        <m:r>
          <m:rPr>
            <m:sty m:val="p"/>
          </m:rPr>
          <m:t>−</m:t>
        </m:r>
        <m:r>
          <m:t>H</m:t>
        </m:r>
        <m:r>
          <m:rPr>
            <m:sty m:val="p"/>
          </m:rPr>
          <m:t>(</m:t>
        </m:r>
        <m:r>
          <m:t>0</m:t>
        </m:r>
        <m:r>
          <m:rPr>
            <m:sty m:val="p"/>
          </m:rPr>
          <m:t>)</m:t>
        </m:r>
      </m:oMath>
      <w:r>
        <w:t xml:space="preserve"> </w:t>
      </w:r>
      <w:r>
        <w:t xml:space="preserve">ranges 10–25 kJ/mol, smaller than the</w:t>
      </w:r>
      <w:r>
        <w:t xml:space="preserve"> </w:t>
      </w:r>
      <m:oMath>
        <m:r>
          <m:rPr>
            <m:sty m:val="p"/>
          </m:rPr>
          <m:t>±</m:t>
        </m:r>
        <m:r>
          <m:t>64.6</m:t>
        </m:r>
      </m:oMath>
      <w: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BodyText"/>
        <w:jc w:val="both"/>
        <w:keepNext w:val="0"/>
        <w:keepLines w:val="0"/>
        <w:widowControl w:val="1"/>
      </w:pPr>
      <w:r>
        <w:rPr>
          <w:b/>
          <w:bCs/>
        </w:rPr>
        <w:t xml:space="preserve">C.3 Calibration uncertainty: literature bias bands.</w:t>
      </w:r>
      <w:r>
        <w:t xml:space="preserve"> </w:t>
      </w:r>
      <w:r>
        <w:t xml:space="preserve">The 6-anchor LOO RMS quoted in §5.3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t xml:space="preserve"> </w:t>
      </w:r>
      <w:hyperlink w:anchor="ref-goerigk2017benchmark">
        <w:r>
          <w:rPr>
            <w:rStyle w:val="Hyperlink"/>
          </w:rPr>
          <w:t xml:space="preserve">[Goerigk2017]</w:t>
        </w:r>
      </w:hyperlink>
      <w:r>
        <w:t xml:space="preserve"> </w:t>
      </w:r>
      <w:r>
        <w:t xml:space="preserve">place the systematic atomization-energy bias of B3LYP with a double-zeta polarised basis at approximately 5–15 kJ/mol per atom, which scales to</w:t>
      </w:r>
      <w:r>
        <w:t xml:space="preserve"> </w:t>
      </w:r>
      <m:oMath>
        <m:r>
          <m:rPr>
            <m:sty m:val="p"/>
          </m:rPr>
          <m:t>∼</m:t>
        </m:r>
      </m:oMath>
      <w:r>
        <w:t xml:space="preserve">100–250 kJ/mol at the molecular level for our 15–25-atom leads, consistent with the +170 to +224 kJ/mol offsets we observe at the RDX/TATB anchors. Casey et al.</w:t>
      </w:r>
      <w:r>
        <w:t xml:space="preserve"> </w:t>
      </w:r>
      <w:hyperlink w:anchor="ref-casey2020prediction">
        <w:r>
          <w:rPr>
            <w:rStyle w:val="Hyperlink"/>
          </w:rPr>
          <w:t xml:space="preserve">[15]</w:t>
        </w:r>
      </w:hyperlink>
      <w:r>
        <w:t xml:space="preserve"> </w:t>
      </w:r>
      <w:r>
        <w:t xml:space="preserve">report B3LYP/6-31G* HOF residuals on a CHNO test set with molecule-level RMSE in the</w:t>
      </w:r>
      <w:r>
        <w:t xml:space="preserve"> </w:t>
      </w:r>
      <m:oMath>
        <m:r>
          <m:rPr>
            <m:sty m:val="p"/>
          </m:rPr>
          <m:t>∼</m:t>
        </m:r>
      </m:oMath>
      <w:r>
        <w:t xml:space="preserve">30–50 kJ/mol band (</w:t>
      </w:r>
      <m:oMath>
        <m:r>
          <m:rPr>
            <m:sty m:val="p"/>
          </m:rPr>
          <m:t>∼</m:t>
        </m:r>
      </m:oMath>
      <w:r>
        <w:t xml:space="preserve">5–10 kJ/mol per heavy atom), which is the closest published analogue to our setup and which we adopt as the residual-uncertainty band on calibrated HOFs in §5.3. For density, the Bondi van-der-Waals volume estimator</w:t>
      </w:r>
      <w:r>
        <w:t xml:space="preserve"> </w:t>
      </w:r>
      <w:hyperlink w:anchor="ref-bondi1964vdw">
        <w:r>
          <w:rPr>
            <w:rStyle w:val="Hyperlink"/>
          </w:rPr>
          <w:t xml:space="preserve">[Bondi1964]</w:t>
        </w:r>
      </w:hyperlink>
      <w:r>
        <w:t xml:space="preserve"> </w:t>
      </w:r>
      <w:r>
        <w:t xml:space="preserve">requires a packing coefficient that ranges 0.65–0.78 across observed CHNO crystal structures; our fixed value of 0.69 sits near the middle of this range, and the anchor-calibrated</w:t>
      </w:r>
      <w:r>
        <w:t xml:space="preserve"> </w:t>
      </w:r>
      <m:oMath>
        <m:r>
          <m:t>ρ</m:t>
        </m:r>
      </m:oMath>
      <w:r>
        <w:t xml:space="preserve"> </w:t>
      </w:r>
      <w:r>
        <w:t xml:space="preserve">would shift by approximately</w:t>
      </w:r>
      <w:r>
        <w:t xml:space="preserve"> </w:t>
      </w:r>
      <m:oMath>
        <m:r>
          <m:rPr>
            <m:sty m:val="p"/>
          </m:rPr>
          <m:t>±</m:t>
        </m:r>
        <m:r>
          <m:t>0.15</m:t>
        </m:r>
      </m:oMath>
      <w:r>
        <w:t xml:space="preserve"> g/cm</w:t>
      </w:r>
      <w:r>
        <w:rPr>
          <w:vertAlign w:val="superscript"/>
        </w:rPr>
        <w:t xml:space="preserve">3</w:t>
      </w:r>
      <w:r>
        <w:t xml:space="preserve"> </w:t>
      </w:r>
      <w:r>
        <w:t xml:space="preserve">across the full packing-coefficient interval, which dominates the</w:t>
      </w:r>
      <w:r>
        <w:t xml:space="preserve"> </w:t>
      </w:r>
      <m:oMath>
        <m:sSub>
          <m:e>
            <m:r>
              <m:t>ρ</m:t>
            </m:r>
          </m:e>
          <m:sub>
            <m:r>
              <m:rPr>
                <m:nor/>
                <m:sty m:val="p"/>
              </m:rPr>
              <m:t>cal</m:t>
            </m:r>
          </m:sub>
        </m:sSub>
      </m:oMath>
      <w:r>
        <w:t xml:space="preserve"> </w:t>
      </w:r>
      <w:r>
        <w:t xml:space="preserve">uncertainty for any single lead.</w:t>
      </w:r>
    </w:p>
    <w:p>
      <w:pPr>
        <w:pStyle w:val="BodyText"/>
        <w:jc w:val="both"/>
        <w:keepNext w:val="0"/>
        <w:keepLines w:val="0"/>
        <w:widowControl w:val="1"/>
      </w:pPr>
      <w:r>
        <w:rPr>
          <w:b/>
          <w:bCs/>
        </w:rPr>
        <w:t xml:space="preserve">C.4 6-anchor calibration.</w:t>
      </w:r>
      <w:r>
        <w:t xml:space="preserve"> </w:t>
      </w:r>
      <w:r>
        <w:t xml:space="preserve">The 6-anchor calibration on (RDX, TATB, HMX, PETN, FOX-7, NTO) gives</w:t>
      </w:r>
      <w: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r>
          <m:rPr>
            <m:sty m:val="p"/>
          </m:rPr>
          <m:t>=</m:t>
        </m:r>
      </m:oMath>
      <w:r>
        <w:t xml:space="preserve"> HOF</w:t>
      </w:r>
      <m:oMath>
        <m:sSub>
          <m:e>
            <m:r>
              <m:t>​</m:t>
            </m:r>
          </m:e>
          <m:sub>
            <m:r>
              <m:rPr>
                <m:nor/>
                <m:sty m:val="p"/>
              </m:rPr>
              <m:t>DFT</m:t>
            </m:r>
          </m:sub>
        </m:sSub>
        <m:r>
          <m:rPr>
            <m:sty m:val="p"/>
          </m:rPr>
          <m:t>−</m:t>
        </m:r>
        <m:r>
          <m:t>206.7</m:t>
        </m:r>
      </m:oMath>
      <w:r>
        <w:t xml:space="preserve"> kJ/mol, with leave-one-out RMS residuals of</w:t>
      </w:r>
      <w:r>
        <w:t xml:space="preserve"> </w:t>
      </w:r>
      <m:oMath>
        <m:r>
          <m:rPr>
            <m:sty m:val="p"/>
          </m:rPr>
          <m:t>±</m:t>
        </m:r>
        <m:r>
          <m:t>0.078</m:t>
        </m:r>
      </m:oMath>
      <w:r>
        <w:t xml:space="preserve"> g/cm</w:t>
      </w:r>
      <w:r>
        <w:rPr>
          <w:vertAlign w:val="superscript"/>
        </w:rPr>
        <w:t xml:space="preserve">3</w:t>
      </w:r>
      <w:r>
        <w:t xml:space="preserve"> </w:t>
      </w:r>
      <w:r>
        <w:t xml:space="preserve">on calibrated</w:t>
      </w:r>
      <w:r>
        <w:t xml:space="preserve"> </w:t>
      </w:r>
      <m:oMath>
        <m:r>
          <m:t>ρ</m:t>
        </m:r>
      </m:oMath>
      <w:r>
        <w:t xml:space="preserve"> </w:t>
      </w:r>
      <w:r>
        <w:t xml:space="preserve">and</w:t>
      </w:r>
      <w:r>
        <w:t xml:space="preserve"> </w:t>
      </w:r>
      <m:oMath>
        <m:r>
          <m:rPr>
            <m:sty m:val="p"/>
          </m:rPr>
          <m:t>±</m:t>
        </m:r>
        <m:r>
          <m:t>64.6</m:t>
        </m:r>
      </m:oMath>
      <w:r>
        <w:t xml:space="preserve"> kJ/mol on calibrated HOF. The four added anchors (HMX, PETN, FOX-7, NTO) were computed on two independent GPU compute runs (separate hosts); cross-run consistency was</w:t>
      </w:r>
      <w:r>
        <w:t xml:space="preserve"> </w:t>
      </w:r>
      <m:oMath>
        <m:r>
          <m:rPr>
            <m:sty m:val="p"/>
          </m:rPr>
          <m:t>Δ</m:t>
        </m:r>
        <m:r>
          <m:t>ρ</m:t>
        </m:r>
        <m:r>
          <m:rPr>
            <m:sty m:val="p"/>
          </m:rPr>
          <m:t>≤</m:t>
        </m:r>
        <m:r>
          <m:t>0.0002</m:t>
        </m:r>
      </m:oMath>
      <w:r>
        <w:t xml:space="preserve"> g/cm</w:t>
      </w:r>
      <w:r>
        <w:rPr>
          <w:vertAlign w:val="superscript"/>
        </w:rPr>
        <w:t xml:space="preserve">3</w:t>
      </w:r>
      <w:r>
        <w:t xml:space="preserve"> </w:t>
      </w:r>
      <w:r>
        <w:t xml:space="preserve">and</w:t>
      </w:r>
      <w:r>
        <w:t xml:space="preserve"> </w:t>
      </w:r>
      <m:oMath>
        <m:r>
          <m:rPr>
            <m:sty m:val="p"/>
          </m:rPr>
          <m:t>Δ</m:t>
        </m:r>
      </m:oMath>
      <w:r>
        <w:t xml:space="preserve">HOF</w:t>
      </w:r>
      <m:oMath>
        <m:r>
          <m:t> </m:t>
        </m:r>
        <m:r>
          <m:rPr>
            <m:sty m:val="p"/>
          </m:rPr>
          <m:t>=</m:t>
        </m:r>
        <m:r>
          <m:t> </m:t>
        </m:r>
        <m:r>
          <m:t>0.0</m:t>
        </m:r>
      </m:oMath>
      <w:r>
        <w:t xml:space="preserve"> kJ/mol on every anchor, demonstrating run-to-run determinism of the GPU4PySCF pipeline. The density slope of</w:t>
      </w:r>
      <w:r>
        <w:t xml:space="preserve"> </w:t>
      </w:r>
      <m:oMath>
        <m:r>
          <m:t>1.392</m:t>
        </m:r>
      </m:oMath>
      <w:r>
        <w:t xml:space="preserve"> </w:t>
      </w:r>
      <w:r>
        <w:t xml:space="preserve">sits in the physically expected</w:t>
      </w:r>
      <w:r>
        <w:t xml:space="preserve"> </w:t>
      </w:r>
      <m:oMath>
        <m:r>
          <m:rPr>
            <m:sty m:val="p"/>
          </m:rPr>
          <m:t>[</m:t>
        </m:r>
        <m:r>
          <m:t>1.0</m:t>
        </m:r>
        <m:r>
          <m:rPr>
            <m:sty m:val="p"/>
          </m:rPr>
          <m:t>,</m:t>
        </m:r>
        <m:r>
          <m:t>2.0</m:t>
        </m:r>
        <m:r>
          <m:rPr>
            <m:sty m:val="p"/>
          </m:rPr>
          <m:t>]</m:t>
        </m:r>
      </m:oMath>
      <w:r>
        <w:t xml:space="preserve"> </w:t>
      </w:r>
      <w: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BodyText"/>
        <w:jc w:val="both"/>
        <w:keepNext w:val="0"/>
        <w:keepLines w:val="0"/>
        <w:widowControl w:val="1"/>
      </w:pPr>
      <w:r>
        <w:rPr>
          <w:b/>
          <w:bCs/>
        </w:rPr>
        <w:t xml:space="preserve">C.5 Per-lead DFT-recomputed property table.</w:t>
      </w:r>
      <w:r>
        <w:t xml:space="preserve"> </w:t>
      </w:r>
      <w:r>
        <w:t xml:space="preserve">Full per-lead B3LYP/6-31G(d) optimisation +</w:t>
      </w:r>
      <w:r>
        <w:t xml:space="preserve"> </w:t>
      </w:r>
      <m:oMath>
        <m:r>
          <m:t>ω</m:t>
        </m:r>
      </m:oMath>
      <w:r>
        <w:t xml:space="preserve">B97X-D3BJ/def2-TZVP single-point results for the chem-pass leads and the two anchors (RDX, TATB):</w:t>
      </w:r>
    </w:p>
    <w:p>
      <w:pPr>
        <w:pStyle w:val="BodyText"/>
        <w:jc w:val="both"/>
        <w:keepNext w:val="0"/>
        <w:keepLines w:val="0"/>
        <w:widowControl w:val="1"/>
      </w:pPr>
      <w:r>
        <w:rPr>
          <w:b/>
          <w:bCs/>
        </w:rPr>
        <w:t xml:space="preserve">Table C.1.</w:t>
      </w:r>
      <w:r>
        <w:t xml:space="preserve"> </w:t>
      </w:r>
      <w:r>
        <w:t xml:space="preserve">Per-lead B3LYP/6-31G(d) optimisation + ωB97X-D3BJ/def2-TZVP single-point</w:t>
      </w:r>
      <w:r>
        <w:t xml:space="preserve"> </w:t>
      </w:r>
      <w:r>
        <w:rPr>
          <w:i/>
          <w:iCs/>
        </w:rPr>
        <w:t xml:space="preserve">structural</w:t>
      </w:r>
      <w:r>
        <w:t xml:space="preserve"> </w:t>
      </w:r>
      <w:r>
        <w:t xml:space="preserve">validation for the 12 chem-pass leads and the two anchors (RDX, TATB). Columns: lead ID; molecular formula; atom count; number of imaginary frequencies (0 = real local minimum); minimum real-mode wavenumber; zero-point vibrational energy. Per-lead numbers from</w:t>
      </w:r>
      <w:r>
        <w:t xml:space="preserve"> </w:t>
      </w:r>
      <w:r>
        <w:rPr>
          <w:rStyle w:val="VerbatimChar"/>
        </w:rPr>
        <w:t xml:space="preserve">m2_summary.json</w:t>
      </w:r>
      <w:r>
        <w:t xml:space="preserve"> </w:t>
      </w:r>
      <w:r>
        <w:t xml:space="preserve">and</w:t>
      </w:r>
      <w:r>
        <w:t xml:space="preserve"> </w:t>
      </w:r>
      <w:r>
        <w:rPr>
          <w:rStyle w:val="VerbatimChar"/>
        </w:rPr>
        <w:t xml:space="preserve">m2_lead_*.json</w:t>
      </w:r>
      <w:r>
        <w:t xml:space="preserve">. DFT densities, HOFs, and h</w:t>
      </w:r>
      <w:r>
        <w:rPr>
          <w:vertAlign w:val="subscript"/>
        </w:rPr>
        <w:t xml:space="preserve">50</w:t>
      </w:r>
      <w:r>
        <w:t xml:space="preserve"> </w:t>
      </w:r>
      <w:r>
        <w:t xml:space="preserve">predictions are in Table C.1c.</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205.5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9</w:t>
            </w:r>
            <w:r>
              <w:rPr>
                <w:rFonts w:ascii="Times New Roman" w:hAnsi="Times New Roman"/>
                <w:sz w:val="20"/>
              </w:rPr>
              <w:t xml:space="preserve">O</w:t>
            </w:r>
            <w:r>
              <w:rPr>
                <w:rFonts w:ascii="Times New Roman" w:hAnsi="Times New Roman"/>
                <w:sz w:val="20"/>
                <w:vertAlign w:val="subscript"/>
              </w:rPr>
              <w:t xml:space="preserve">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396.4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244.7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4</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375.0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6</w:t>
            </w:r>
            <w:r>
              <w:rPr>
                <w:rFonts w:ascii="Times New Roman" w:hAnsi="Times New Roman"/>
                <w:sz w:val="20"/>
              </w:rPr>
              <w:t xml:space="preserve">H</w:t>
            </w:r>
            <w:r>
              <w:rPr>
                <w:rFonts w:ascii="Times New Roman" w:hAnsi="Times New Roman"/>
                <w:sz w:val="20"/>
                <w:vertAlign w:val="subscript"/>
              </w:rPr>
              <w:t xml:space="preserve">6</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419.1</w:t>
            </w:r>
          </w:p>
        </w:tc>
      </w:tr>
    </w:tbl>
    <w:p>
      <w:pPr>
        <w:pStyle w:val="BodyText"/>
        <w:spacing w:before="160"/>
        <w:jc w:val="both"/>
        <w:keepNext w:val="0"/>
        <w:keepLines w:val="0"/>
        <w:widowControl w:val="1"/>
      </w:pPr>
      <w:r>
        <w:rPr>
          <w:b/>
          <w:bCs/>
        </w:rPr>
        <w:t xml:space="preserve">Note on L3/L16.</w:t>
      </w:r>
      <w:r>
        <w:t xml:space="preserve"> </w:t>
      </w:r>
      <w: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BodyText"/>
        <w:jc w:val="both"/>
        <w:keepNext w:val="0"/>
        <w:keepLines w:val="0"/>
        <w:widowControl w:val="1"/>
      </w:pPr>
      <w:r>
        <w:rPr>
          <w:b/>
          <w:bCs/>
        </w:rPr>
        <w:t xml:space="preserve">Note on L9/L20.</w:t>
      </w:r>
      <w:r>
        <w:t xml:space="preserve"> </w:t>
      </w:r>
      <w:r>
        <w:t xml:space="preserve">ν_min = 0.0 cm</w:t>
      </w:r>
      <w:r>
        <w:rPr>
          <w:vertAlign w:val="superscript"/>
        </w:rPr>
        <w:t xml:space="preserve">−1</w:t>
      </w:r>
      <w:r>
        <w:t xml:space="preserve"> </w:t>
      </w:r>
      <w:r>
        <w:t xml:space="preserve">reflects a near-zero torsional frequency (soft dihedral mode within numerical precision of the geometry optimizer) rather than an imaginary mode or saddle point; n_imag = 0 confirms these are real local minima.</w:t>
      </w:r>
    </w:p>
    <w:p>
      <w:pPr>
        <w:pStyle w:val="BodyText"/>
        <w:jc w:val="both"/>
        <w:keepNext w:val="0"/>
        <w:keepLines w:val="0"/>
        <w:widowControl w:val="1"/>
      </w:pPr>
      <w:r>
        <w:rPr>
          <w:b/>
          <w:bCs/>
        </w:rPr>
        <w:t xml:space="preserve">Table C.1c.</w:t>
      </w:r>
      <w:r>
        <w:t xml:space="preserve"> </w:t>
      </w:r>
      <w:r>
        <w:t xml:space="preserve">DFT-derived</w:t>
      </w:r>
      <w:r>
        <w:t xml:space="preserve"> </w:t>
      </w:r>
      <w:r>
        <w:rPr>
          <w:i/>
          <w:iCs/>
        </w:rPr>
        <w:t xml:space="preserve">properties</w:t>
      </w:r>
      <w:r>
        <w:t xml:space="preserve"> </w:t>
      </w:r>
      <w:r>
        <w:t xml:space="preserve">for the 12 chem-pass leads and the two RDX/TATB anchors under the 6-anchor calibration. ρ</w:t>
      </w:r>
      <w:r>
        <w:rPr>
          <w:vertAlign w:val="subscript"/>
        </w:rPr>
        <w:t xml:space="preserve">cal</w:t>
      </w:r>
      <w:r>
        <w:t xml:space="preserve"> </w:t>
      </w:r>
      <w:r>
        <w:t xml:space="preserve">= 1.392·ρ</w:t>
      </w:r>
      <w:r>
        <w:rPr>
          <w:vertAlign w:val="subscript"/>
        </w:rPr>
        <w:t xml:space="preserve">DFT</w:t>
      </w:r>
      <w:r>
        <w:t xml:space="preserve"> </w:t>
      </w:r>
      <w:r>
        <w:t xml:space="preserve">− 0.415; HOF</w:t>
      </w:r>
      <w:r>
        <w:rPr>
          <w:vertAlign w:val="subscript"/>
        </w:rPr>
        <w:t xml:space="preserve">cal</w:t>
      </w:r>
      <w:r>
        <w:t xml:space="preserve"> </w:t>
      </w:r>
      <w:r>
        <w:t xml:space="preserve">= HOF</w:t>
      </w:r>
      <w:r>
        <w:rPr>
          <w:vertAlign w:val="subscript"/>
        </w:rPr>
        <w:t xml:space="preserve">DFT</w:t>
      </w:r>
      <w:r>
        <w:t xml:space="preserve"> </w:t>
      </w:r>
      <w:r>
        <w:t xml:space="preserve">− 206.7 kJ/mol (6-anchor RDX/TATB/HMX/PETN/FOX-7/NTO fit; LOO RMS ±0.078 g/cm</w:t>
      </w:r>
      <w:r>
        <w:rPr>
          <w:vertAlign w:val="superscript"/>
        </w:rPr>
        <w:t xml:space="preserve">3</w:t>
      </w:r>
      <w:r>
        <w:t xml:space="preserve"> </w:t>
      </w:r>
      <w:r>
        <w:t xml:space="preserve">on ρ and ±64.6 kJ/mol on HOF). h</w:t>
      </w:r>
      <w:r>
        <w:rPr>
          <w:vertAlign w:val="subscript"/>
        </w:rPr>
        <w:t xml:space="preserve">50,model</w:t>
      </w:r>
      <w:r>
        <w:t xml:space="preserve"> </w:t>
      </w:r>
      <w:r>
        <w:t xml:space="preserve">from the h50 score-model head (Huang and Massa</w:t>
      </w:r>
      <w:r>
        <w:t xml:space="preserve"> </w:t>
      </w:r>
      <w:hyperlink w:anchor="ref-huang2021applying">
        <w:r>
          <w:rPr>
            <w:rStyle w:val="Hyperlink"/>
          </w:rPr>
          <w:t xml:space="preserve">[huang2021]</w:t>
        </w:r>
      </w:hyperlink>
      <w:r>
        <w:t xml:space="preserve">); h</w:t>
      </w:r>
      <w:r>
        <w:rPr>
          <w:vertAlign w:val="subscript"/>
        </w:rPr>
        <w:t xml:space="preserve">50,BDE</w:t>
      </w:r>
      <w:r>
        <w:t xml:space="preserve"> </w:t>
      </w:r>
      <w:r>
        <w:t xml:space="preserve">via Politzer–Murray 2014 chemotype-class linear fit h</w:t>
      </w:r>
      <w:r>
        <w:rPr>
          <w:vertAlign w:val="subscript"/>
        </w:rPr>
        <w:t xml:space="preserve">50</w:t>
      </w:r>
      <w:r>
        <w:t xml:space="preserve">=1.93·BDE−52.4 (BDE class typicals: Ar–NO</w:t>
      </w:r>
      <w:r>
        <w:rPr>
          <w:vertAlign w:val="subscript"/>
        </w:rPr>
        <w:t xml:space="preserve">2</w:t>
      </w:r>
      <w:r>
        <w:t xml:space="preserve"> </w:t>
      </w:r>
      <w:r>
        <w:t xml:space="preserve">70, R</w:t>
      </w:r>
      <w:r>
        <w:rPr>
          <w:vertAlign w:val="subscript"/>
        </w:rPr>
        <w:t xml:space="preserve">2</w:t>
      </w:r>
      <w:r>
        <w:t xml:space="preserve">N–NO</w:t>
      </w:r>
      <w:r>
        <w:rPr>
          <w:vertAlign w:val="subscript"/>
        </w:rPr>
        <w:t xml:space="preserve">2</w:t>
      </w:r>
      <w:r>
        <w:t xml:space="preserve"> </w:t>
      </w:r>
      <w:r>
        <w:t xml:space="preserve">47, R-CH-NO</w:t>
      </w:r>
      <w:r>
        <w:rPr>
          <w:vertAlign w:val="subscript"/>
        </w:rPr>
        <w:t xml:space="preserve">2</w:t>
      </w:r>
      <w:r>
        <w:t xml:space="preserve"> </w:t>
      </w:r>
      <w:r>
        <w:t xml:space="preserve">55, R-O-NO</w:t>
      </w:r>
      <w:r>
        <w:rPr>
          <w:vertAlign w:val="subscript"/>
        </w:rPr>
        <w:t xml:space="preserve">2</w:t>
      </w:r>
      <w:r>
        <w:t xml:space="preserve"> </w:t>
      </w:r>
      <w:r>
        <w:t xml:space="preserve">40 kcal/mol). Anchor sanity check: RDX h</w:t>
      </w:r>
      <w:r>
        <w:rPr>
          <w:vertAlign w:val="subscript"/>
        </w:rPr>
        <w:t xml:space="preserve">50,model</w:t>
      </w:r>
      <w: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c.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huang2021]);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50,model</w:t>
            </w:r>
            <w:r>
              <w:rPr>
                <w:rFonts w:ascii="Times New Roman" w:hAnsi="Times New Roman"/>
                <w:b/>
                <w:sz w:val="19"/>
              </w:rPr>
              <w:t xml:space="preserve"> </w:t>
            </w:r>
            <w:r>
              <w:rPr>
                <w:rFonts w:ascii="Times New Roman" w:hAnsi="Times New Roman"/>
                <w:b/>
                <w:sz w:val="19"/>
              </w:rPr>
              <w:t xml:space="preserve">(cm)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w:t>
            </w:r>
            <w:r>
              <w:rPr>
                <w:rFonts w:ascii="Times New Roman" w:hAnsi="Times New Roman"/>
                <w:b/>
                <w:sz w:val="19"/>
                <w:vertAlign w:val="subscript"/>
              </w:rPr>
              <w:t xml:space="preserve">50,BDE</w:t>
            </w:r>
            <w:r>
              <w:rPr>
                <w:rFonts w:ascii="Times New Roman" w:hAnsi="Times New Roman"/>
                <w:b/>
                <w:sz w:val="19"/>
              </w:rPr>
              <w:t xml:space="preserve"> </w:t>
            </w:r>
            <w:r>
              <w:rPr>
                <w:rFonts w:ascii="Times New Roman" w:hAnsi="Times New Roman"/>
                <w:b/>
                <w:sz w:val="19"/>
              </w:rPr>
              <w:t xml:space="preserve">(cm)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+498.8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+292.1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+536.5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+115.4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-166.7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1.723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RDX</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1.857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TATB</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1.663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+82.9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-123.7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89.2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82.7</w:t>
            </w:r>
          </w:p>
        </w:tc>
      </w:tr>
    </w:tbl>
    <w:p>
      <w:pPr>
        <w:pStyle w:val="BodyText"/>
        <w:spacing w:before="160"/>
        <w:jc w:val="both"/>
        <w:keepNext w:val="0"/>
        <w:keepLines w:val="0"/>
        <w:widowControl w:val="1"/>
      </w:pPr>
      <w:r>
        <w:rPr>
          <w:b/>
          <w:bCs/>
        </w:rPr>
        <w:t xml:space="preserve">L1 discrepancy.</w:t>
      </w:r>
      <w:r>
        <w:t xml:space="preserve"> </w:t>
      </w:r>
      <w:r>
        <w:t xml:space="preserve">The score model predicts h</w:t>
      </w:r>
      <w:r>
        <w:rPr>
          <w:vertAlign w:val="subscript"/>
        </w:rPr>
        <w:t xml:space="preserve">50,model</w:t>
      </w:r>
      <w:r>
        <w:t xml:space="preserve">=30.3 cm (more sensitive) while the BDE estimate gives h</w:t>
      </w:r>
      <w:r>
        <w:rPr>
          <w:vertAlign w:val="subscript"/>
        </w:rPr>
        <w:t xml:space="preserve">50,BDE</w:t>
      </w:r>
      <w:r>
        <w:t xml:space="preserve">=82.7 cm (less sensitive), a factor of 2.7. The two methods disagree on L1 because the model was calibrated on a drug-domain distribution (few isoxazole-class nitro compounds in training), whereas the BDE formula classifies L1's Ar–NO</w:t>
      </w:r>
      <w:r>
        <w:rPr>
          <w:vertAlign w:val="subscript"/>
        </w:rPr>
        <w:t xml:space="preserve">2</w:t>
      </w:r>
      <w:r>
        <w:t xml:space="preserve"> </w:t>
      </w:r>
      <w:r>
        <w:t xml:space="preserve">bonds using the aromatic-nitro class typical (BDE~70 kcal/mol). Neither route is authoritative for a novel chemotype; experimental impact-sensitivity testing is required.</w:t>
      </w:r>
    </w:p>
    <w:p>
      <w:pPr>
        <w:pStyle w:val="BodyText"/>
        <w:jc w:val="both"/>
        <w:keepNext w:val="0"/>
        <w:keepLines w:val="0"/>
        <w:widowControl w:val="1"/>
      </w:pPr>
      <w:r>
        <w:rPr>
          <w:b/>
          <w:bCs/>
        </w:rPr>
        <w:t xml:space="preserve">Reference-class scaffolds.</w:t>
      </w:r>
      <w:r>
        <w:t xml:space="preserve"> </w:t>
      </w:r>
      <w:r>
        <w:t xml:space="preserve">Three reference-class compounds (R2, R3, R14) flagged by the strengthened SMARTS gate of §5.4 were optimised with the same protocol; they are</w:t>
      </w:r>
      <w:r>
        <w:t xml:space="preserve"> </w:t>
      </w:r>
      <w:r>
        <w:rPr>
          <w:i/>
          <w:iCs/>
        </w:rPr>
        <w:t xml:space="preserve">not</w:t>
      </w:r>
      <w:r>
        <w:t xml:space="preserve"> </w:t>
      </w:r>
      <w:r>
        <w:t xml:space="preserve">chem-pass leads and are reported here for completeness:</w:t>
      </w:r>
    </w:p>
    <w:p>
      <w:pPr>
        <w:pStyle w:val="BodyText"/>
        <w:jc w:val="both"/>
        <w:keepNext w:val="0"/>
        <w:keepLines w:val="0"/>
        <w:widowControl w:val="1"/>
      </w:pPr>
      <w:r>
        <w:rPr>
          <w:b/>
          <w:bCs/>
        </w:rPr>
        <w:t xml:space="preserve">Table C.1b.</w:t>
      </w:r>
      <w:r>
        <w:t xml:space="preserve"> </w:t>
      </w:r>
      <w: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b.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263.1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H</w:t>
            </w:r>
            <w:r>
              <w:rPr>
                <w:rFonts w:ascii="Times New Roman" w:hAnsi="Times New Roman"/>
                <w:sz w:val="20"/>
                <w:vertAlign w:val="subscript"/>
              </w:rPr>
              <w:t xml:space="preserve">3</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234.3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36.9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348.6</w:t>
            </w:r>
          </w:p>
        </w:tc>
      </w:tr>
    </w:tbl>
    <w:p/>
    <w:p>
      <w:pPr>
        <w:pStyle w:val="BodyText"/>
        <w:jc w:val="both"/>
        <w:keepNext w:val="0"/>
        <w:keepLines w:val="0"/>
        <w:widowControl w:val="1"/>
      </w:pPr>
      <w:r>
        <w:rPr>
          <w:b/>
          <w:bCs/>
        </w:rPr>
        <w:t xml:space="preserve">Table C.1d.</w:t>
      </w:r>
      <w:r>
        <w:t xml:space="preserve"> </w:t>
      </w:r>
      <w:r>
        <w:t xml:space="preserve">DFT-derived properties for the three reference-class scaffolds. Calibration as Table C.1c. h</w:t>
      </w:r>
      <w:r>
        <w:rPr>
          <w:vertAlign w:val="subscript"/>
        </w:rPr>
        <w:t xml:space="preserve">50</w:t>
      </w:r>
      <w:r>
        <w:t xml:space="preserve"> </w:t>
      </w:r>
      <w: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c.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1.642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1.871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+521.7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+315.0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R14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1.818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+437.4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+230.7</w:t>
            </w:r>
          </w:p>
        </w:tc>
      </w:tr>
    </w:tbl>
    <w:p>
      <w:pPr>
        <w:pStyle w:val="BodyText"/>
        <w:spacing w:before="160"/>
        <w:jc w:val="both"/>
        <w:keepNext w:val="0"/>
        <w:keepLines w:val="0"/>
        <w:widowControl w:val="1"/>
      </w:pPr>
      <w:r>
        <w:rPr>
          <w:b/>
          <w:bCs/>
        </w:rPr>
        <w:t xml:space="preserve">Anchor calibration (6-anchor).</w:t>
      </w:r>
      <w:r>
        <w:t xml:space="preserve"> </w:t>
      </w:r>
      <w:r>
        <w:t xml:space="preserve">Experimental</w:t>
      </w:r>
      <w:r>
        <w:t xml:space="preserve"> </w:t>
      </w:r>
      <m:oMath>
        <m:r>
          <m:rPr>
            <m:sty m:val="p"/>
          </m:rPr>
          <m:t>(</m:t>
        </m:r>
        <m:r>
          <m:t>ρ</m:t>
        </m:r>
        <m:r>
          <m:rPr>
            <m:sty m:val="p"/>
          </m:rPr>
          <m:t>,</m:t>
        </m:r>
        <m:r>
          <m:rPr>
            <m:nor/>
            <m:sty m:val="p"/>
          </m:rPr>
          <m:t>HOF</m:t>
        </m:r>
        <m:r>
          <m:rPr>
            <m:sty m:val="p"/>
          </m:rPr>
          <m:t>)</m:t>
        </m:r>
      </m:oMath>
      <w:r>
        <w:t xml:space="preserve"> </w:t>
      </w:r>
      <w:r>
        <w:t xml:space="preserve">anchors: RDX</w:t>
      </w:r>
      <w:r>
        <w:t xml:space="preserve"> </w:t>
      </w:r>
      <m:oMath>
        <m:r>
          <m:rPr>
            <m:sty m:val="p"/>
          </m:rPr>
          <m:t>(</m:t>
        </m:r>
        <m:r>
          <m:t>1.82</m:t>
        </m:r>
        <m:r>
          <m:rPr>
            <m:sty m:val="p"/>
          </m:rPr>
          <m:t>,</m:t>
        </m:r>
        <m:r>
          <m:rPr>
            <m:sty m:val="p"/>
          </m:rPr>
          <m:t>+</m:t>
        </m:r>
        <m:r>
          <m:t>70</m:t>
        </m:r>
        <m:r>
          <m:rPr>
            <m:sty m:val="p"/>
          </m:rPr>
          <m:t>)</m:t>
        </m:r>
      </m:oMath>
      <w:r>
        <w:t xml:space="preserve">, TATB</w:t>
      </w:r>
      <w:r>
        <w:t xml:space="preserve"> </w:t>
      </w:r>
      <m:oMath>
        <m:r>
          <m:rPr>
            <m:sty m:val="p"/>
          </m:rPr>
          <m:t>(</m:t>
        </m:r>
        <m:r>
          <m:t>1.94</m:t>
        </m:r>
        <m:r>
          <m:rPr>
            <m:sty m:val="p"/>
          </m:rPr>
          <m:t>,</m:t>
        </m:r>
        <m:r>
          <m:rPr>
            <m:sty m:val="p"/>
          </m:rPr>
          <m:t>−</m:t>
        </m:r>
        <m:r>
          <m:t>141</m:t>
        </m:r>
        <m:r>
          <m:rPr>
            <m:sty m:val="p"/>
          </m:rPr>
          <m:t>)</m:t>
        </m:r>
      </m:oMath>
      <w:r>
        <w:t xml:space="preserve">, HMX</w:t>
      </w:r>
      <w:r>
        <w:t xml:space="preserve"> </w:t>
      </w:r>
      <m:oMath>
        <m:r>
          <m:rPr>
            <m:sty m:val="p"/>
          </m:rPr>
          <m:t>(</m:t>
        </m:r>
        <m:r>
          <m:t>1.91</m:t>
        </m:r>
        <m:r>
          <m:rPr>
            <m:sty m:val="p"/>
          </m:rPr>
          <m:t>,</m:t>
        </m:r>
        <m:r>
          <m:rPr>
            <m:sty m:val="p"/>
          </m:rPr>
          <m:t>+</m:t>
        </m:r>
        <m:r>
          <m:t>75</m:t>
        </m:r>
        <m:r>
          <m:rPr>
            <m:sty m:val="p"/>
          </m:rPr>
          <m:t>)</m:t>
        </m:r>
      </m:oMath>
      <w:r>
        <w:t xml:space="preserve">, PETN</w:t>
      </w:r>
      <w:r>
        <w:t xml:space="preserve"> </w:t>
      </w:r>
      <m:oMath>
        <m:r>
          <m:rPr>
            <m:sty m:val="p"/>
          </m:rPr>
          <m:t>(</m:t>
        </m:r>
        <m:r>
          <m:t>1.77</m:t>
        </m:r>
        <m:r>
          <m:rPr>
            <m:sty m:val="p"/>
          </m:rPr>
          <m:t>,</m:t>
        </m:r>
        <m:r>
          <m:rPr>
            <m:sty m:val="p"/>
          </m:rPr>
          <m:t>−</m:t>
        </m:r>
        <m:r>
          <m:t>538</m:t>
        </m:r>
        <m:r>
          <m:rPr>
            <m:sty m:val="p"/>
          </m:rPr>
          <m:t>)</m:t>
        </m:r>
      </m:oMath>
      <w:r>
        <w:t xml:space="preserve">, FOX-7</w:t>
      </w:r>
      <w:r>
        <w:t xml:space="preserve"> </w:t>
      </w:r>
      <m:oMath>
        <m:r>
          <m:rPr>
            <m:sty m:val="p"/>
          </m:rPr>
          <m:t>(</m:t>
        </m:r>
        <m:r>
          <m:t>1.89</m:t>
        </m:r>
        <m:r>
          <m:rPr>
            <m:sty m:val="p"/>
          </m:rPr>
          <m:t>,</m:t>
        </m:r>
        <m:r>
          <m:rPr>
            <m:sty m:val="p"/>
          </m:rPr>
          <m:t>−</m:t>
        </m:r>
        <m:r>
          <m:t>134</m:t>
        </m:r>
        <m:r>
          <m:rPr>
            <m:sty m:val="p"/>
          </m:rPr>
          <m:t>)</m:t>
        </m:r>
      </m:oMath>
      <w:r>
        <w:t xml:space="preserve">, NTO</w:t>
      </w:r>
      <w:r>
        <w:t xml:space="preserve"> </w:t>
      </w:r>
      <m:oMath>
        <m:r>
          <m:rPr>
            <m:sty m:val="p"/>
          </m:rPr>
          <m:t>(</m:t>
        </m:r>
        <m:r>
          <m:t>1.93</m:t>
        </m:r>
        <m:r>
          <m:rPr>
            <m:sty m:val="p"/>
          </m:rPr>
          <m:t>,</m:t>
        </m:r>
        <m:r>
          <m:rPr>
            <m:sty m:val="p"/>
          </m:rPr>
          <m:t>−</m:t>
        </m:r>
        <m:r>
          <m:t>129</m:t>
        </m:r>
        <m:r>
          <m:rPr>
            <m:sty m:val="p"/>
          </m:rPr>
          <m:t>)</m:t>
        </m:r>
      </m:oMath>
      <w:r>
        <w:t xml:space="preserve">, in g/cm</w:t>
      </w:r>
      <w:r>
        <w:rPr>
          <w:vertAlign w:val="superscript"/>
        </w:rPr>
        <w:t xml:space="preserve">3</w:t>
      </w:r>
      <w:r>
        <w:t xml:space="preserve"> </w:t>
      </w:r>
      <w:r>
        <w:t xml:space="preserve">and kJ/mol respectively. Raw</w:t>
      </w:r>
      <w:r>
        <w:t xml:space="preserve"> </w:t>
      </w:r>
      <m:oMath>
        <m:r>
          <m:t>ω</m:t>
        </m:r>
      </m:oMath>
      <w:r>
        <w:t xml:space="preserve">B97X-D3BJ DFT outputs are tabulated in Table C.1c. The 6-anchor regression gives</w:t>
      </w:r>
      <w: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t xml:space="preserve"> </w:t>
      </w:r>
      <w:r>
        <w:t xml:space="preserve">and HOF</w:t>
      </w:r>
      <m:oMath>
        <m:sSub>
          <m:e>
            <m:r>
              <m:t>​</m:t>
            </m:r>
          </m:e>
          <m:sub>
            <m:r>
              <m:rPr>
                <m:nor/>
                <m:sty m:val="p"/>
              </m:rPr>
              <m:t>cal</m:t>
            </m:r>
          </m:sub>
        </m:sSub>
      </m:oMath>
      <w:r>
        <w:t xml:space="preserve"> </w:t>
      </w:r>
      <w:r>
        <w:t xml:space="preserve">= HOF</w:t>
      </w:r>
      <m:oMath>
        <m:sSub>
          <m:e>
            <m:r>
              <m:t>​</m:t>
            </m:r>
          </m:e>
          <m:sub>
            <m:r>
              <m:rPr>
                <m:nor/>
                <m:sty m:val="p"/>
              </m:rPr>
              <m:t>DFT</m:t>
            </m:r>
          </m:sub>
        </m:sSub>
        <m:r>
          <m:rPr>
            <m:sty m:val="p"/>
          </m:rPr>
          <m:t>−</m:t>
        </m:r>
        <m:r>
          <m:t>206.7</m:t>
        </m:r>
      </m:oMath>
      <w:r>
        <w:t xml:space="preserve"> kJ/mol, with LOO RMS</w:t>
      </w:r>
      <w:r>
        <w:t xml:space="preserve">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 </w:t>
      </w:r>
      <w:r>
        <w:t xml:space="preserve">and</w:t>
      </w:r>
      <w:r>
        <w:t xml:space="preserve"> </w:t>
      </w:r>
      <m:oMath>
        <m:r>
          <m:rPr>
            <m:sty m:val="p"/>
          </m:rPr>
          <m:t>±</m:t>
        </m:r>
        <m:r>
          <m:t>64.6</m:t>
        </m:r>
      </m:oMath>
      <w:r>
        <w:t xml:space="preserve"> kJ/mol on HOF (per-anchor residuals in Appendix C.4). The 12 chem-pass leads calibrate to</w:t>
      </w:r>
      <w: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t xml:space="preserve"> g/cm</w:t>
      </w:r>
      <w:r>
        <w:rPr>
          <w:vertAlign w:val="superscript"/>
        </w:rPr>
        <w:t xml:space="preserve">3</w:t>
      </w:r>
      <w:r>
        <w:t xml:space="preserve"> </w:t>
      </w:r>
      <w: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t xml:space="preserve"> kJ/mol. Using the calibrated</w:t>
      </w:r>
      <w:r>
        <w:t xml:space="preserve"> </w:t>
      </w:r>
      <m:oMath>
        <m:r>
          <m:t>ρ</m:t>
        </m:r>
      </m:oMath>
      <w:r>
        <w:t xml:space="preserve"> </w:t>
      </w:r>
      <w:r>
        <w:t xml:space="preserve">and HOF, the K-J formula recomputes</w:t>
      </w:r>
      <w:r>
        <w:t xml:space="preserve"> </w:t>
      </w:r>
      <m:oMath>
        <m:r>
          <m:t>D</m:t>
        </m:r>
      </m:oMath>
      <w:r>
        <w:t xml:space="preserve"> </w:t>
      </w:r>
      <w:r>
        <w:t xml:space="preserve">for all 12 leads on the calibrated branch:</w:t>
      </w:r>
    </w:p>
    <w:p>
      <w:pPr>
        <w:pStyle w:val="BodyText"/>
        <w:jc w:val="both"/>
        <w:keepNext w:val="0"/>
        <w:keepLines w:val="0"/>
        <w:widowControl w:val="1"/>
      </w:pPr>
      <w:r>
        <w:rPr>
          <w:b/>
          <w:bCs/>
        </w:rPr>
        <w:t xml:space="preserve">Table C.2.</w:t>
      </w:r>
      <w:r>
        <w:t xml:space="preserve"> </w:t>
      </w:r>
      <w:r>
        <w:t xml:space="preserve">Kamlet–Jacobs detonation velocity and pressure recomputed from the 6-anchor-calibrated DFT</w:t>
      </w:r>
      <w:r>
        <w:t xml:space="preserve"> </w:t>
      </w:r>
      <m:oMath>
        <m:r>
          <m:t>ρ</m:t>
        </m:r>
      </m:oMath>
      <w:r>
        <w:t xml:space="preserve"> </w:t>
      </w:r>
      <w:r>
        <w:t xml:space="preserve">and HOF (per</w:t>
      </w:r>
      <w:r>
        <w:t xml:space="preserve"> </w:t>
      </w:r>
      <w:r>
        <w:rPr>
          <w:rStyle w:val="VerbatimChar"/>
        </w:rPr>
        <w:t xml:space="preserve">kj_6anchor_recompute.json</w:t>
      </w:r>
      <w:r>
        <w:t xml:space="preserve">), compared to the 3D-CNN surrogate prediction. The raw-DFT K-J values are listed in the third column for transparency. Residual is K-J</w:t>
      </w:r>
      <m:oMath>
        <m:sSub>
          <m:e>
            <m:r>
              <m:t>​</m:t>
            </m:r>
          </m:e>
          <m:sub>
            <m:r>
              <m:rPr>
                <m:nor/>
                <m:sty m:val="p"/>
              </m:rPr>
              <m:t>cal</m:t>
            </m:r>
          </m:sub>
        </m:sSub>
      </m:oMath>
      <w:r>
        <w:t xml:space="preserve"> </w:t>
      </w:r>
      <w:r>
        <w:t xml:space="preserve">minus 3D-CNN</w:t>
      </w:r>
      <w:r>
        <w:t xml:space="preserve"> </w:t>
      </w:r>
      <m:oMath>
        <m:r>
          <m:t>D</m:t>
        </m:r>
      </m:oMath>
      <w:r>
        <w:t xml:space="preserve">. All 12 chem-pass leads are defined on the K-J branch. Anchor rows show the experimental</w:t>
      </w:r>
      <w:r>
        <w:t xml:space="preserve"> </w:t>
      </w:r>
      <m:oMath>
        <m:r>
          <m:t>D</m:t>
        </m:r>
      </m:oMath>
      <w:r>
        <w:t xml:space="preserve">, the K-J recompute under the 6-anchor calibration, and the K-J</w:t>
      </w:r>
      <m:oMath>
        <m:sSub>
          <m:e>
            <m:r>
              <m:t>​</m:t>
            </m:r>
          </m:e>
          <m:sub>
            <m:r>
              <m:rPr>
                <m:nor/>
                <m:sty m:val="p"/>
              </m:rPr>
              <m:t>cal</m:t>
            </m:r>
          </m:sub>
        </m:sSub>
      </m:oMath>
      <w: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3D-CNN surrogate prediction. The raw-DFT K-J values are listed in the third column for transparency. Residual is K-J_{\text{cal}} minus 3D-CNN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3D-CNN</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residual (cal − 3D-CNN)</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 trinitro-isoxazole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D=9.56, ρ=2.00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D=7.85, P=27.3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D=8.25, P=32.9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 oxime-nitrate-imidazoline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D=8.96,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D=6.81, P=19.9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P=28.1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−1.18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L3 oxadiazinone-N-nitramine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L4 5-ring tetrazoline-N-nitramine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D=8.98,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D=5.56, P=13.2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D=6.71, P=20.9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−2.27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L5 acyl oxime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D=7.78, P=25.8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D=7.99, P=29.6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−1.22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L9 hydrazinyl tetranitramine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D=9.27, ρ=1.88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D=6.44, P=17.6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D=7.33, P=24.6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L11 acyl-nitramide nitrate-imine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D=9.30, ρ=1.90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D=6.97, P=20.5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D=7.88, P=28.5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−1.42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L13 oxadiazoline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D=9.05, ρ=1.87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D=6.39, P=17.0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D=7.36, P=24.5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−1.69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L16 oxadiazinone-N-nitramine (alt SMILES)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D=9.11, ρ=1.93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D=6.50, P=18.3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L18 vinyl azo-amino nitrate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D=9.00, ρ=1.89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D=6.21, P=16.0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D=7.09, P=22.6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L19 acyl C-OH 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D=9.14, ρ=1.88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D=7.24, P=24.1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−1.90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L20</w:t>
            </w:r>
            <w:r>
              <w:rPr>
                <w:rFonts w:ascii="Times New Roman" w:hAnsi="Times New Roman"/>
                <w:sz w:val="20"/>
              </w:rPr>
              <w:t xml:space="preserve"> </w:t>
            </w:r>
            <m:oMath>
              <m:r>
                <m:t>α</m:t>
              </m:r>
            </m:oMath>
            <w:r>
              <w:rPr>
                <w:rFonts w:ascii="Times New Roman" w:hAnsi="Times New Roman"/>
                <w:sz w:val="20"/>
              </w:rPr>
              <w:t xml:space="preserve">-NO</w:t>
            </w:r>
            <w:r>
              <w:rPr>
                <w:rFonts w:ascii="Times New Roman" w:hAnsi="Times New Roman"/>
                <w:sz w:val="20"/>
                <w:vertAlign w:val="subscript"/>
              </w:rPr>
              <w:t xml:space="preserve">2</w:t>
            </w:r>
            <w:r>
              <w:rPr>
                <w:rFonts w:ascii="Times New Roman" w:hAnsi="Times New Roman"/>
                <w:sz w:val="20"/>
              </w:rPr>
              <w:t xml:space="preserve"> </w:t>
            </w:r>
            <w:r>
              <w:rPr>
                <w:rFonts w:ascii="Times New Roman" w:hAnsi="Times New Roman"/>
                <w:sz w:val="20"/>
              </w:rPr>
              <w:t xml:space="preserve">acyl-N-nitramine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D=9.12, ρ=1.91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D=6.40, P=17.7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D=7.41, P=25.8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RDX</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D=8.75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D=7.43, P=25.0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−1.32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TATB</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D=7.90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D=6.93, P=22.0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−0.97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HMX</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D=9.10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D=7.52, P=26.2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−1.58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PETN</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D=8.30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D=8.24, P=30.6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−0.06 km/s (vs exp)</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FOX-7</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D=8.87 (exp)</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D=7.70, P=26.5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−1.17 km/s (vs exp)</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NTO</w:t>
            </w:r>
            <w:r>
              <w:rPr>
                <w:rFonts w:ascii="Times New Roman" w:hAnsi="Times New Roman"/>
                <w:sz w:val="20"/>
              </w:rPr>
              <w:t xml:space="preserve"> </w:t>
            </w:r>
            <w:r>
              <w:rPr>
                <w:rFonts w:ascii="Times New Roman" w:hAnsi="Times New Roman"/>
                <w:sz w:val="20"/>
              </w:rPr>
              <w:t xml:space="preserve">(anchor)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D=7.93 (exp)</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D=7.49, P=25.6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 km/s (vs exp)</w:t>
            </w:r>
          </w:p>
        </w:tc>
      </w:tr>
    </w:tbl>
    <w:p>
      <w:pPr>
        <w:pStyle w:val="BodyText"/>
        <w:spacing w:before="160"/>
        <w:jc w:val="both"/>
        <w:keepNext w:val="0"/>
        <w:keepLines w:val="0"/>
        <w:widowControl w:val="1"/>
      </w:pPr>
      <w:r>
        <w:rPr>
          <w:b/>
          <w:bCs/>
        </w:rPr>
        <w:t xml:space="preserve">Reading Table C.2.</w:t>
      </w:r>
      <w:r>
        <w:t xml:space="preserve"> </w:t>
      </w:r>
      <w:r>
        <w:t xml:space="preserve">The six anchor rows define the K-J under-prediction band on the same recipe: K-J</w:t>
      </w:r>
      <m:oMath>
        <m:sSub>
          <m:e>
            <m:r>
              <m:t>​</m:t>
            </m:r>
          </m:e>
          <m:sub>
            <m:r>
              <m:rPr>
                <m:nor/>
                <m:sty m:val="p"/>
              </m:rPr>
              <m:t>cal</m:t>
            </m:r>
          </m:sub>
        </m:sSub>
      </m:oMath>
      <w:r>
        <w:t xml:space="preserve"> </w:t>
      </w:r>
      <w:r>
        <w:t xml:space="preserve">lands</w:t>
      </w:r>
      <w:r>
        <w:t xml:space="preserve"> </w:t>
      </w:r>
      <m:oMath>
        <m:r>
          <m:t>0.06</m:t>
        </m:r>
      </m:oMath>
      <w:r>
        <w:t xml:space="preserve"> </w:t>
      </w:r>
      <w:r>
        <w:t xml:space="preserve">to</w:t>
      </w:r>
      <w:r>
        <w:t xml:space="preserve"> </w:t>
      </w:r>
      <m:oMath>
        <m:r>
          <m:t>1.58</m:t>
        </m:r>
      </m:oMath>
      <w:r>
        <w:t xml:space="preserve"> km/s below experiment, with a mean of</w:t>
      </w:r>
      <w:r>
        <w:t xml:space="preserve"> </w:t>
      </w:r>
      <m:oMath>
        <m:r>
          <m:rPr>
            <m:sty m:val="p"/>
          </m:rPr>
          <m:t>−</m:t>
        </m:r>
        <m:r>
          <m:t>0.92</m:t>
        </m:r>
      </m:oMath>
      <w:r>
        <w:t xml:space="preserve"> km/s. Lead residuals against the 3D-CNN surrogate (</w:t>
      </w:r>
      <m:oMath>
        <m:r>
          <m:rPr>
            <m:sty m:val="p"/>
          </m:rPr>
          <m:t>−</m:t>
        </m:r>
        <m:r>
          <m:t>1.18</m:t>
        </m:r>
      </m:oMath>
      <w:r>
        <w:t xml:space="preserve"> </w:t>
      </w:r>
      <w:r>
        <w:t xml:space="preserve">to</w:t>
      </w:r>
      <w:r>
        <w:t xml:space="preserve"> </w:t>
      </w:r>
      <m:oMath>
        <m:r>
          <m:rPr>
            <m:sty m:val="p"/>
          </m:rPr>
          <m:t>−</m:t>
        </m:r>
        <m:r>
          <m:t>2.27</m:t>
        </m:r>
      </m:oMath>
      <w:r>
        <w:t xml:space="preserve"> km/s, mean</w:t>
      </w:r>
      <w:r>
        <w:t xml:space="preserve"> </w:t>
      </w:r>
      <m:oMath>
        <m:r>
          <m:rPr>
            <m:sty m:val="p"/>
          </m:rPr>
          <m:t>−</m:t>
        </m:r>
        <m:r>
          <m:t>1.66</m:t>
        </m:r>
      </m:oMath>
      <w:r>
        <w:t xml:space="preserve"> km/s) sit comfortably inside this anchor-defined band, and the</w:t>
      </w:r>
      <w:r>
        <w:t xml:space="preserve"> </w:t>
      </w:r>
      <m:oMath>
        <m:r>
          <m:rPr>
            <m:sty m:val="p"/>
          </m:rPr>
          <m:t>−</m:t>
        </m:r>
        <m:r>
          <m:t>1.31</m:t>
        </m:r>
      </m:oMath>
      <w:r>
        <w:t xml:space="preserve"> km/s residual on L1 is one of the smallest in the lead set, consistent with L1's HMX-class regime placement.</w:t>
      </w:r>
    </w:p>
    <w:p>
      <w:pPr>
        <w:pStyle w:val="BodyText"/>
        <w:jc w:val="both"/>
        <w:keepNext w:val="0"/>
        <w:keepLines w:val="0"/>
        <w:widowControl w:val="1"/>
      </w:pPr>
      <w:r>
        <w:rPr>
          <w:b/>
          <w:bCs/>
        </w:rPr>
        <w:t xml:space="preserve">C.5 caveat block: 1,2,3,5-oxatriazole stability literature (E1).</w:t>
      </w:r>
      <w:r>
        <w:t xml:space="preserve"> </w:t>
      </w:r>
      <w: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t xml:space="preserve"> </w:t>
      </w:r>
      <m:oMath>
        <m:r>
          <m:t>ω</m:t>
        </m:r>
      </m:oMath>
      <w:r>
        <w:t xml:space="preserve">B97X-D3BJ level, plus DSC/TGA compatibility check) is required before E1 is promoted to synthesis priority. The Appendix C.10 GFN2-xTB BDE scan places E1's weakest cleavage at</w:t>
      </w:r>
      <w:r>
        <w:t xml:space="preserve"> </w:t>
      </w:r>
      <m:oMath>
        <m:r>
          <m:t>92.7</m:t>
        </m:r>
      </m:oMath>
      <w:r>
        <w:t xml:space="preserve"> kcal/mol on the exocyclic C–NO</w:t>
      </w:r>
      <w:r>
        <w:rPr>
          <w:vertAlign w:val="subscript"/>
        </w:rPr>
        <w:t xml:space="preserve">2</w:t>
      </w:r>
      <w:r>
        <w:t xml:space="preserve"> </w:t>
      </w:r>
      <w:r>
        <w:t xml:space="preserve">bond and finds no ring N–O channel below</w:t>
      </w:r>
      <w:r>
        <w:t xml:space="preserve"> </w:t>
      </w:r>
      <m:oMath>
        <m:r>
          <m:t>180</m:t>
        </m:r>
      </m:oMath>
      <w:r>
        <w:t xml:space="preserve"> kcal/mol on a vertical cleavage from the parent geometry; the literature endocyclic-O–N value (130–155 kJ/mol</w:t>
      </w:r>
      <w:r>
        <w:t xml:space="preserve"> </w:t>
      </w:r>
      <m:oMath>
        <m:r>
          <m:rPr>
            <m:sty m:val="p"/>
          </m:rPr>
          <m:t>≈</m:t>
        </m:r>
      </m:oMath>
      <w:r>
        <w:t xml:space="preserve"> </w:t>
      </w:r>
      <w: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BodyText"/>
        <w:jc w:val="both"/>
        <w:keepNext w:val="0"/>
        <w:keepLines w:val="0"/>
        <w:widowControl w:val="1"/>
      </w:pPr>
      <w:r>
        <w:rPr>
          <w:b/>
          <w:bCs/>
        </w:rPr>
        <w:t xml:space="preserve">C.6 K-J residual decomposition by ρ/HOF sensitivity.</w:t>
      </w:r>
      <w:r>
        <w:t xml:space="preserve"> </w:t>
      </w:r>
      <w:r>
        <w:t xml:space="preserve">Under the 6-anchor calibration L4's K-J</w:t>
      </w:r>
      <w:r>
        <w:t xml:space="preserve"> </w:t>
      </w:r>
      <m:oMath>
        <m:r>
          <m:t>D</m:t>
        </m:r>
      </m:oMath>
      <w:r>
        <w:t xml:space="preserve"> </w:t>
      </w:r>
      <w:r>
        <w:t xml:space="preserve">is</w:t>
      </w:r>
      <w:r>
        <w:t xml:space="preserve"> </w:t>
      </w:r>
      <m:oMath>
        <m:r>
          <m:t>6.71</m:t>
        </m:r>
      </m:oMath>
      <w:r>
        <w:t xml:space="preserve"> km/s against a 3D-CNN prediction of</w:t>
      </w:r>
      <w:r>
        <w:t xml:space="preserve"> </w:t>
      </w:r>
      <m:oMath>
        <m:r>
          <m:t>8.98</m:t>
        </m:r>
      </m:oMath>
      <w:r>
        <w:t xml:space="preserve"> km/s, giving a residual of</w:t>
      </w:r>
      <w:r>
        <w:t xml:space="preserve"> </w:t>
      </w:r>
      <m:oMath>
        <m:sSub>
          <m:e>
            <m:r>
              <m:t>D</m:t>
            </m:r>
          </m:e>
          <m:sub>
            <m:r>
              <m:rPr>
                <m:nor/>
                <m:sty m:val="p"/>
              </m:rPr>
              <m:t>DFT-cal</m:t>
            </m:r>
          </m:sub>
        </m:sSub>
        <m:r>
          <m:rPr>
            <m:sty m:val="p"/>
          </m:rPr>
          <m:t>−</m:t>
        </m:r>
        <m:sSub>
          <m:e>
            <m:r>
              <m:t>D</m:t>
            </m:r>
          </m:e>
          <m:sub>
            <m:r>
              <m:rPr>
                <m:nor/>
                <m:sty m:val="p"/>
              </m:rPr>
              <m:t>3D-CNN</m:t>
            </m:r>
          </m:sub>
        </m:sSub>
        <m:r>
          <m:rPr>
            <m:sty m:val="p"/>
          </m:rPr>
          <m:t>=</m:t>
        </m:r>
        <m:r>
          <m:rPr>
            <m:sty m:val="p"/>
          </m:rPr>
          <m:t>−</m:t>
        </m:r>
        <m:r>
          <m:t>2.27</m:t>
        </m:r>
      </m:oMath>
      <w:r>
        <w:t xml:space="preserve"> km/s (Table C.2). We decompose this residual against the K-J sensitivity slopes at L4's base point and ask what input shift in</w:t>
      </w:r>
      <w:r>
        <w:t xml:space="preserve"> </w:t>
      </w:r>
      <m:oMath>
        <m:r>
          <m:t>ρ</m:t>
        </m:r>
      </m:oMath>
      <w:r>
        <w:t xml:space="preserve"> </w:t>
      </w:r>
      <w:r>
        <w:t xml:space="preserve">alone or HOF alone would be required to close it.</w:t>
      </w:r>
    </w:p>
    <w:p>
      <w:pPr>
        <w:pStyle w:val="BodyText"/>
        <w:jc w:val="both"/>
        <w:keepNext w:val="0"/>
        <w:keepLines w:val="0"/>
        <w:widowControl w:val="1"/>
      </w:pPr>
      <w:r>
        <w:rPr>
          <w:b/>
          <w:bCs/>
        </w:rPr>
        <w:t xml:space="preserve">Table C.3.</w:t>
      </w:r>
      <w:r>
        <w:t xml:space="preserve"> </w:t>
      </w:r>
      <w:r>
        <w:t xml:space="preserve">K-J residual decomposition by</w:t>
      </w:r>
      <w:r>
        <w:t xml:space="preserve"> </w:t>
      </w:r>
      <m:oMath>
        <m:r>
          <m:t>ρ</m:t>
        </m:r>
      </m:oMath>
      <w:r>
        <w:t xml:space="preserve">/HOF sensitivity for L4 (3D-CNN</w:t>
      </w:r>
      <w:r>
        <w:t xml:space="preserve"> </w:t>
      </w:r>
      <m:oMath>
        <m:r>
          <m:t>D</m:t>
        </m:r>
      </m:oMath>
      <w:r>
        <w:t xml:space="preserve">=8.98 km/s, 6-anchor-calibrated K-J</w:t>
      </w:r>
      <w:r>
        <w:t xml:space="preserve"> </w:t>
      </w:r>
      <m:oMath>
        <m:r>
          <m:t>D</m:t>
        </m:r>
      </m:oMath>
      <w:r>
        <w:t xml:space="preserve">=6.71 km/s, residual = </w:t>
      </w:r>
      <m:oMath>
        <m:r>
          <m:rPr>
            <m:sty m:val="p"/>
          </m:rPr>
          <m:t>−</m:t>
        </m:r>
        <m:r>
          <m:t>2.27</m:t>
        </m:r>
      </m:oMath>
      <w:r>
        <w:t xml:space="preserve"> km/s). Both single-variable closures require physically or chemically implausible input shifts, so the residual is attributable primarily to the K-J formula's gas-product distribution assumption in the high-N CHNO regime, not to plausible</w:t>
      </w:r>
      <w:r>
        <w:t xml:space="preserve"> </w:t>
      </w:r>
      <m:oMath>
        <m:r>
          <m:t>ρ</m:t>
        </m:r>
      </m:oMath>
      <w:r>
        <w:t xml:space="preserve"> </w:t>
      </w:r>
      <w: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3D-CNN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Close residual via ρ alone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20"/>
              </w:rPr>
              <w:t xml:space="preserve"> g/cm</w:t>
            </w:r>
            <w:r>
              <w:rPr>
                <w:rFonts w:ascii="Times New Roman" w:hAnsi="Times New Roman"/>
                <w:sz w:val="20"/>
                <w:vertAlign w:val="superscript"/>
              </w:rPr>
              <w:t xml:space="preserve">3</w:t>
            </w:r>
            <w:r>
              <w:rPr>
                <w:rFonts w:ascii="Times New Roman" w:hAnsi="Times New Roman"/>
                <w:sz w:val="20"/>
              </w:rPr>
              <w:t xml:space="preserve">; L4 calibrated</w:t>
            </w:r>
            <w:r>
              <w:rPr>
                <w:rFonts w:ascii="Times New Roman" w:hAnsi="Times New Roman"/>
                <w:sz w:val="20"/>
              </w:rPr>
              <w:t xml:space="preserve"> </w:t>
            </w:r>
            <m:oMath>
              <m:r>
                <m:t>ρ</m:t>
              </m:r>
            </m:oMath>
            <w:r>
              <w:rPr>
                <w:rFonts w:ascii="Times New Roman" w:hAnsi="Times New Roman"/>
                <w:sz w:val="20"/>
              </w:rPr>
              <w:t xml:space="preserve"> </w:t>
            </w:r>
            <w:r>
              <w:rPr>
                <w:rFonts w:ascii="Times New Roman" w:hAnsi="Times New Roman"/>
                <w:sz w:val="20"/>
              </w:rPr>
              <w:t xml:space="preserve">would have to drop from 1.94 to 1.02 g/cm</w:t>
            </w:r>
            <w:r>
              <w:rPr>
                <w:rFonts w:ascii="Times New Roman" w:hAnsi="Times New Roman"/>
                <w:sz w:val="20"/>
                <w:vertAlign w:val="super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Lighter than water; chemically implausible for any nitrogen-rich CHNO crystal</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Close residual via HOF alone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m:oMath>
              <m:r>
                <m:rPr>
                  <m:sty m:val="p"/>
                </m:rPr>
                <m:t>Δ</m:t>
              </m:r>
            </m:oMath>
            <w:r>
              <w:rPr>
                <w:rFonts w:ascii="Times New Roman" w:hAnsi="Times New Roman"/>
                <w:sz w:val="20"/>
              </w:rPr>
              <w:t xml:space="preserve">HOF</w:t>
            </w:r>
            <w:r>
              <w:rPr>
                <w:rFonts w:ascii="Times New Roman" w:hAnsi="Times New Roman"/>
                <w:sz w:val="20"/>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20"/>
              </w:rPr>
              <w:t xml:space="preserve"> kJ/mol; L4 calibrated HOF would have to rise from +292 to +1324 kJ/mol</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Far above CL-20's HOF (~+460 kJ/mol); physically extreme for a 13-atom CHNO neutral</w:t>
            </w:r>
          </w:p>
        </w:tc>
      </w:tr>
    </w:tbl>
    <w:p>
      <w:pPr>
        <w:pStyle w:val="BodyText"/>
        <w:spacing w:before="160"/>
        <w:jc w:val="both"/>
        <w:keepNext w:val="0"/>
        <w:keepLines w:val="0"/>
        <w:widowControl w:val="1"/>
      </w:pPr>
      <w:r>
        <w:t xml:space="preserve">K-J sensitivity slopes at the L4 base point:</w:t>
      </w:r>
      <w:r>
        <w:t xml:space="preserve"> </w:t>
      </w:r>
      <m:oMath>
        <m:r>
          <m:t>d</m:t>
        </m:r>
        <m:r>
          <m:t>D</m:t>
        </m:r>
        <m:r>
          <m:rPr>
            <m:sty m:val="p"/>
          </m:rPr>
          <m:t>/</m:t>
        </m:r>
        <m:r>
          <m:t>d</m:t>
        </m:r>
        <m:r>
          <m:t>ρ</m:t>
        </m:r>
        <m:r>
          <m:rPr>
            <m:sty m:val="p"/>
          </m:rPr>
          <m:t>≈</m:t>
        </m:r>
        <m:r>
          <m:rPr>
            <m:sty m:val="p"/>
          </m:rPr>
          <m:t>+</m:t>
        </m:r>
        <m:r>
          <m:t>2.47</m:t>
        </m:r>
      </m:oMath>
      <w:r>
        <w:t xml:space="preserve"> </w:t>
      </w:r>
      <w:r>
        <w:t xml:space="preserve">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t>0.22</m:t>
        </m:r>
      </m:oMath>
      <w:r>
        <w:t xml:space="preserve"> </w:t>
      </w:r>
      <w:r>
        <w:t xml:space="preserve">km/s per 100 kJ/mol. Both single-variable closures are implausible; the K-J residual at L4 is dominated by the gas-product distribution assumption rather than</w:t>
      </w:r>
      <w:r>
        <w:t xml:space="preserve"> </w:t>
      </w:r>
      <m:oMath>
        <m:r>
          <m:t>ρ</m:t>
        </m:r>
      </m:oMath>
      <w:r>
        <w:t xml:space="preserve"> </w:t>
      </w:r>
      <w:r>
        <w:t xml:space="preserve">or HOF input errors, with a secondary contribution from the 6-anchor calibration uncertainty (</w:t>
      </w:r>
      <m:oMath>
        <m:r>
          <m:rPr>
            <m:sty m:val="p"/>
          </m:rPr>
          <m:t>±</m:t>
        </m:r>
        <m:r>
          <m:t>0.078</m:t>
        </m:r>
      </m:oMath>
      <w:r>
        <w:t xml:space="preserve"> g/cm</w:t>
      </w:r>
      <w:r>
        <w:rPr>
          <w:vertAlign w:val="superscript"/>
        </w:rPr>
        <w:t xml:space="preserve">3</w:t>
      </w:r>
      <w:r>
        <w:t xml:space="preserve"> </w:t>
      </w:r>
      <w:r>
        <w:t xml:space="preserve">on</w:t>
      </w:r>
      <w:r>
        <w:t xml:space="preserve"> </w:t>
      </w:r>
      <m:oMath>
        <m:r>
          <m:t>ρ</m:t>
        </m:r>
      </m:oMath>
      <w:r>
        <w:t xml:space="preserve">,</w:t>
      </w:r>
      <w:r>
        <w:t xml:space="preserve"> </w:t>
      </w:r>
      <m:oMath>
        <m:r>
          <m:rPr>
            <m:sty m:val="p"/>
          </m:rPr>
          <m:t>±</m:t>
        </m:r>
        <m:r>
          <m:t>64.6</m:t>
        </m:r>
      </m:oMath>
      <w:r>
        <w:t xml:space="preserve"> kJ/mol on HOF). The assumed gas-product distribution (CO</w:t>
      </w:r>
      <w:r>
        <w:rPr>
          <w:vertAlign w:val="subscript"/>
        </w:rPr>
        <w:t xml:space="preserve">2</w:t>
      </w:r>
      <w:r>
        <w:t xml:space="preserve">, H</w:t>
      </w:r>
      <w:r>
        <w:rPr>
          <w:vertAlign w:val="subscript"/>
        </w:rPr>
        <w:t xml:space="preserve">2</w:t>
      </w:r>
      <w:r>
        <w:t xml:space="preserve">O, N</w:t>
      </w:r>
      <w:r>
        <w:rPr>
          <w:vertAlign w:val="subscript"/>
        </w:rPr>
        <w:t xml:space="preserve">2</w:t>
      </w:r>
      <w:r>
        <w:t xml:space="preserve"> </w:t>
      </w:r>
      <w: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BodyText"/>
        <w:jc w:val="both"/>
        <w:keepNext w:val="0"/>
        <w:keepLines w:val="0"/>
        <w:widowControl w:val="1"/>
      </w:pPr>
      <w:r>
        <w:rPr>
          <w:b/>
          <w:bCs/>
        </w:rPr>
        <w:t xml:space="preserve">C.7 Population-level N-fraction stratification.</w:t>
      </w:r>
      <w:r>
        <w:t xml:space="preserve"> </w:t>
      </w:r>
      <w:r>
        <w:t xml:space="preserve">To confirm that the K-J residual's regime dependence is not specific to L4 but a population-wide signal, we re-ran the same K-J formula on every Tier-A row of the labelled master that carries simultaneous experimental ρ, HOF, and</w:t>
      </w:r>
      <w:r>
        <w:t xml:space="preserve"> </w:t>
      </w:r>
      <m:oMath>
        <m:r>
          <m:t>D</m:t>
        </m:r>
      </m:oMath>
      <w:r>
        <w:t xml:space="preserve"> </w:t>
      </w:r>
      <w:r>
        <w:t xml:space="preserve">(n = 575) and stratified the residual</w:t>
      </w:r>
      <w:r>
        <w:t xml:space="preserve"> </w:t>
      </w:r>
      <m:oMath>
        <m:sSub>
          <m:e>
            <m:r>
              <m:t>D</m:t>
            </m:r>
          </m:e>
          <m:sub>
            <m:r>
              <m:rPr>
                <m:nor/>
                <m:sty m:val="p"/>
              </m:rPr>
              <m:t>K-J</m:t>
            </m:r>
          </m:sub>
        </m:sSub>
        <m:r>
          <m:rPr>
            <m:sty m:val="p"/>
          </m:rPr>
          <m:t>−</m:t>
        </m:r>
        <m:sSub>
          <m:e>
            <m:r>
              <m:t>D</m:t>
            </m:r>
          </m:e>
          <m:sub>
            <m:r>
              <m:rPr>
                <m:nor/>
                <m:sty m:val="p"/>
              </m:rPr>
              <m:t>exp</m:t>
            </m:r>
          </m:sub>
        </m:sSub>
      </m:oMath>
      <w:r>
        <w:t xml:space="preserve"> </w:t>
      </w:r>
      <w:r>
        <w:t xml:space="preserve">by atomic N-fraction</w:t>
      </w:r>
      <w: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t xml:space="preserve">:</w:t>
      </w:r>
    </w:p>
    <w:p>
      <w:pPr>
        <w:pStyle w:val="BodyText"/>
        <w:jc w:val="both"/>
        <w:keepNext w:val="0"/>
        <w:keepLines w:val="0"/>
        <w:widowControl w:val="1"/>
      </w:pPr>
      <w:r>
        <w:rPr>
          <w:b/>
          <w:bCs/>
        </w:rPr>
        <w:t xml:space="preserve">Table C.4.</w:t>
      </w:r>
      <w:r>
        <w:t xml:space="preserve"> </w:t>
      </w:r>
      <w:r>
        <w:t xml:space="preserve">Population-level N-fraction stratification of the K-J residual on 575 Tier-A rows of the labelled master that carry simultaneous experimental</w:t>
      </w:r>
      <w:r>
        <w:t xml:space="preserve"> </w:t>
      </w:r>
      <m:oMath>
        <m:r>
          <m:t>ρ</m:t>
        </m:r>
      </m:oMath>
      <w:r>
        <w:t xml:space="preserve">, HOF, and</w:t>
      </w:r>
      <w:r>
        <w:t xml:space="preserve"> </w:t>
      </w:r>
      <m:oMath>
        <m:r>
          <m:t>D</m:t>
        </m:r>
      </m:oMath>
      <w:r>
        <w:t xml:space="preserve">. Columns: N-fraction bin; row count; mean experimental</w:t>
      </w:r>
      <w:r>
        <w:t xml:space="preserve"> </w:t>
      </w:r>
      <m:oMath>
        <m:r>
          <m:t>D</m:t>
        </m:r>
      </m:oMath>
      <w:r>
        <w:t xml:space="preserve">; mean K-J recomputed</w:t>
      </w:r>
      <w:r>
        <w:t xml:space="preserve"> </w:t>
      </w:r>
      <m:oMath>
        <m:r>
          <m:t>D</m:t>
        </m:r>
      </m:oMath>
      <w:r>
        <w:t xml:space="preserve">; mean residual (K-J minus experimental).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w:t>
      </w:r>
      <w:r>
        <w:t xml:space="preserve"> </w:t>
      </w:r>
      <m:oMath>
        <m:r>
          <m:t>p</m:t>
        </m:r>
        <m:r>
          <m:rPr>
            <m:sty m:val="p"/>
          </m:rPr>
          <m:t>=</m:t>
        </m:r>
        <m:r>
          <m:t>4</m:t>
        </m:r>
        <m:r>
          <m:rPr>
            <m:sty m:val="p"/>
          </m:rPr>
          <m:t>×</m:t>
        </m:r>
        <m:sSup>
          <m:e>
            <m:r>
              <m:t>10</m:t>
            </m:r>
          </m:e>
          <m:sup>
            <m:r>
              <m:rPr>
                <m:sty m:val="p"/>
              </m:rPr>
              <m:t>−</m:t>
            </m:r>
            <m:r>
              <m:t>27</m:t>
            </m:r>
          </m:sup>
        </m:sSup>
      </m:oMath>
      <w: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m:oMath>
              <m:r>
                <m:t>n</m:t>
              </m:r>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[0.20–0.30)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7.96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−3.59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[0.30–0.40)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8.30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−3.29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[0.40–0.55)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7.78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−1.60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[0.55–1.00]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7.66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+0.54</w:t>
            </w:r>
          </w:p>
        </w:tc>
      </w:tr>
    </w:tbl>
    <w:p>
      <w:pPr>
        <w:pStyle w:val="BodyText"/>
        <w:spacing w:before="160"/>
        <w:jc w:val="both"/>
        <w:keepNext w:val="0"/>
        <w:keepLines w:val="0"/>
        <w:widowControl w:val="1"/>
      </w:pPr>
      <w:r>
        <w:t xml:space="preserve">The residual flips sign across the N-fraction range: K-J systematically under-predicts</w:t>
      </w:r>
      <w:r>
        <w:t xml:space="preserve"> </w:t>
      </w:r>
      <m:oMath>
        <m:r>
          <m:t>D</m:t>
        </m:r>
      </m:oMath>
      <w:r>
        <w:t xml:space="preserve"> </w:t>
      </w:r>
      <w:r>
        <w:t xml:space="preserve">by 3–3.6 km/s in the low-to-mid N-fraction regime and shifts toward over-prediction in the high-N regime. Pearson</w:t>
      </w:r>
      <w: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t xml:space="preserve"> </w:t>
      </w:r>
      <w:r>
        <w:t xml:space="preserve">(</w:t>
      </w:r>
      <m:oMath>
        <m:r>
          <m:t>p</m:t>
        </m:r>
        <m:r>
          <m:rPr>
            <m:sty m:val="p"/>
          </m:rPr>
          <m:t>=</m:t>
        </m:r>
        <m:r>
          <m:t>4</m:t>
        </m:r>
        <m:r>
          <m:rPr>
            <m:sty m:val="p"/>
          </m:rPr>
          <m:t>×</m:t>
        </m:r>
        <m:sSup>
          <m:e>
            <m:r>
              <m:t>10</m:t>
            </m:r>
          </m:e>
          <m:sup>
            <m:r>
              <m:rPr>
                <m:sty m:val="p"/>
              </m:rPr>
              <m:t>−</m:t>
            </m:r>
            <m:r>
              <m:t>27</m:t>
            </m:r>
          </m:sup>
        </m:sSup>
      </m:oMath>
      <w:r>
        <w:t xml:space="preserve">,</w:t>
      </w:r>
      <w:r>
        <w:t xml:space="preserve"> </w:t>
      </w:r>
      <m:oMath>
        <m:r>
          <m:t>n</m:t>
        </m:r>
        <m:r>
          <m:rPr>
            <m:sty m:val="p"/>
          </m:rPr>
          <m:t>=</m:t>
        </m:r>
        <m:r>
          <m:t>575</m:t>
        </m:r>
      </m:oMath>
      <w:r>
        <w:t xml:space="preserve">). On absolute magnitude: this open-form K-J implementation uses</w:t>
      </w:r>
      <w:r>
        <w:t xml:space="preserve"> </w:t>
      </w:r>
      <m:oMath>
        <m:r>
          <m:t>Q</m:t>
        </m:r>
        <m:r>
          <m:rPr>
            <m:sty m:val="p"/>
          </m:rPr>
          <m:t>≈</m:t>
        </m:r>
        <m:r>
          <m:rPr>
            <m:sty m:val="p"/>
          </m:rPr>
          <m:t>Δ</m:t>
        </m:r>
        <m:sSub>
          <m:e>
            <m:r>
              <m:t>H</m:t>
            </m:r>
          </m:e>
          <m:sub>
            <m:r>
              <m:t>f</m:t>
            </m:r>
          </m:sub>
        </m:sSub>
        <m:r>
          <m:rPr>
            <m:sty m:val="p"/>
          </m:rPr>
          <m:t>/</m:t>
        </m:r>
        <m:sSub>
          <m:e>
            <m:r>
              <m:t>M</m:t>
            </m:r>
          </m:e>
          <m:sub>
            <m:r>
              <m:t>W</m:t>
            </m:r>
          </m:sub>
        </m:sSub>
      </m:oMath>
      <w:r>
        <w:t xml:space="preserve"> </w:t>
      </w:r>
      <w: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BodyText"/>
        <w:jc w:val="both"/>
        <w:keepNext w:val="0"/>
        <w:keepLines w:val="0"/>
        <w:widowControl w:val="1"/>
      </w:pPr>
      <w:r>
        <w:rPr>
          <w:b/>
          <w:bCs/>
        </w:rPr>
        <w:t xml:space="preserve">C.8 Scaffold-similarity to labelled master.</w:t>
      </w:r>
      <w:r>
        <w:t xml:space="preserve"> </w:t>
      </w:r>
      <w:r>
        <w:t xml:space="preserve">Beyond Tanimoto on full-molecule fingerprints (§5.4), we report the GuacaMol-style "scaf" metric (mean and max nearest-neighbour Tanimoto on Bemis–Murcko scaffold fingerprints) against a 5 000-row sample of the labelled master:</w:t>
      </w:r>
    </w:p>
    <w:p>
      <w:pPr>
        <w:pStyle w:val="BodyText"/>
        <w:jc w:val="both"/>
        <w:keepNext w:val="0"/>
        <w:keepLines w:val="0"/>
        <w:widowControl w:val="1"/>
      </w:pPr>
      <w:r>
        <w:rPr>
          <w:b/>
          <w:bCs/>
        </w:rPr>
        <w:t xml:space="preserve">Table C.5.</w:t>
      </w:r>
      <w:r>
        <w:t xml:space="preserve"> </w:t>
      </w:r>
      <w: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503</w:t>
            </w:r>
          </w:p>
        </w:tc>
      </w:tr>
    </w:tbl>
    <w:p>
      <w:pPr>
        <w:pStyle w:val="BodyText"/>
        <w:spacing w:before="160"/>
        <w:jc w:val="both"/>
        <w:keepNext w:val="0"/>
        <w:keepLines w:val="0"/>
        <w:widowControl w:val="1"/>
      </w:pPr>
      <w: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BodyText"/>
        <w:jc w:val="both"/>
        <w:keepNext w:val="0"/>
        <w:keepLines w:val="0"/>
        <w:widowControl w:val="1"/>
      </w:pPr>
      <w:r>
        <w:rPr>
          <w:b/>
          <w:bCs/>
        </w:rPr>
        <w:t xml:space="preserve">C.9 Bondi-vdW packing-factor bracket on L1 and E1 (T2 cross-check).</w:t>
      </w:r>
      <w:r>
        <w:t xml:space="preserve"> </w:t>
      </w:r>
      <w:r>
        <w:t xml:space="preserve">An independent Bondi-vdW packing-factor bracket on L1 and E1, varying pk</w:t>
      </w:r>
      <w:r>
        <w:t xml:space="preserve"> </w:t>
      </w:r>
      <m:oMath>
        <m:r>
          <m:rPr>
            <m:sty m:val="p"/>
          </m:rPr>
          <m:t>∈</m:t>
        </m:r>
      </m:oMath>
      <w:r>
        <w:t xml:space="preserve"> </w:t>
      </w:r>
      <w:r>
        <w:t xml:space="preserve">{0.65, 0.69, 0.72} on the optimised B3LYP/6-31G(d) geometries, yields</w:t>
      </w:r>
      <w:r>
        <w:t xml:space="preserve"> </w:t>
      </w:r>
      <m:oMath>
        <m:r>
          <m:t>ρ</m:t>
        </m:r>
        <m:r>
          <m:rPr>
            <m:sty m:val="p"/>
          </m:rPr>
          <m:t>∈</m:t>
        </m:r>
        <m:r>
          <m:rPr>
            <m:sty m:val="p"/>
          </m:rPr>
          <m:t>[</m:t>
        </m:r>
        <m:r>
          <m:t>1.69</m:t>
        </m:r>
        <m:r>
          <m:rPr>
            <m:sty m:val="p"/>
          </m:rPr>
          <m:t>,</m:t>
        </m:r>
        <m:r>
          <m:t>1.87</m:t>
        </m:r>
        <m:r>
          <m:rPr>
            <m:sty m:val="p"/>
          </m:rPr>
          <m:t>]</m:t>
        </m:r>
      </m:oMath>
      <w:r>
        <w:t xml:space="preserve"> g/cm</w:t>
      </w:r>
      <w:r>
        <w:rPr>
          <w:vertAlign w:val="superscript"/>
        </w:rPr>
        <w:t xml:space="preserve">3</w:t>
      </w:r>
      <w:r>
        <w:t xml:space="preserve"> </w:t>
      </w:r>
      <w:r>
        <w:t xml:space="preserve">for L1 and</w:t>
      </w:r>
      <w:r>
        <w:t xml:space="preserve"> </w:t>
      </w:r>
      <m:oMath>
        <m:r>
          <m:rPr>
            <m:sty m:val="p"/>
          </m:rPr>
          <m:t>[</m:t>
        </m:r>
        <m:r>
          <m:t>1.65</m:t>
        </m:r>
        <m:r>
          <m:rPr>
            <m:sty m:val="p"/>
          </m:rPr>
          <m:t>,</m:t>
        </m:r>
        <m:r>
          <m:t>1.83</m:t>
        </m:r>
        <m:r>
          <m:rPr>
            <m:sty m:val="p"/>
          </m:rPr>
          <m:t>]</m:t>
        </m:r>
      </m:oMath>
      <w:r>
        <w:t xml:space="preserve"> g/cm</w:t>
      </w:r>
      <w:r>
        <w:rPr>
          <w:vertAlign w:val="superscript"/>
        </w:rPr>
        <w:t xml:space="preserve">3</w:t>
      </w:r>
      <w:r>
        <w:t xml:space="preserve"> </w:t>
      </w:r>
      <w:r>
        <w:t xml:space="preserve">for E1. Both ranges sit below the 6-anchor-calibrated values (</w:t>
      </w:r>
      <m:oMath>
        <m:sSub>
          <m:e>
            <m:r>
              <m:t>ρ</m:t>
            </m:r>
          </m:e>
          <m:sub>
            <m:r>
              <m:rPr>
                <m:nor/>
                <m:sty m:val="p"/>
              </m:rPr>
              <m:t>cal</m:t>
            </m:r>
          </m:sub>
        </m:sSub>
      </m:oMath>
      <w:r>
        <w:t xml:space="preserve"> </w:t>
      </w:r>
      <w:r>
        <w:t xml:space="preserve">= 2.09 and 2.04 respectively), with the centre value (pk = 0.69) at</w:t>
      </w:r>
      <w:r>
        <w:t xml:space="preserve"> </w:t>
      </w:r>
      <m:oMath>
        <m:r>
          <m:t>ρ</m:t>
        </m:r>
      </m:oMath>
      <w:r>
        <w:t xml:space="preserve"> </w:t>
      </w:r>
      <w: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t xml:space="preserve"> </w:t>
      </w:r>
      <m:oMath>
        <m:r>
          <m:t>ρ</m:t>
        </m:r>
      </m:oMath>
      <w:r>
        <w:t xml:space="preserve"> </w:t>
      </w:r>
      <w:r>
        <w:t xml:space="preserve">values. Computed via Modal-launched bundle</w:t>
      </w:r>
      <w:r>
        <w:t xml:space="preserve"> </w:t>
      </w:r>
      <w:r>
        <w:rPr>
          <w:rStyle w:val="VerbatimChar"/>
        </w:rPr>
        <w:t xml:space="preserve">t2_density_bundle/</w:t>
      </w:r>
      <w:r>
        <w:t xml:space="preserve">.</w:t>
      </w:r>
    </w:p>
    <w:p>
      <w:pPr>
        <w:pStyle w:val="BodyText"/>
        <w:jc w:val="both"/>
        <w:keepNext w:val="0"/>
        <w:keepLines w:val="0"/>
        <w:widowControl w:val="1"/>
      </w:pPr>
      <w:r>
        <w:rPr>
          <w:b/>
          <w:bCs/>
        </w:rPr>
        <w:t xml:space="preserve">C.10 GFN2-xTB weakest-bond BDE on L1 and E1 (T1 cross-check).</w:t>
      </w:r>
      <w:r>
        <w:t xml:space="preserve"> </w:t>
      </w:r>
      <w:r>
        <w:t xml:space="preserve">A coordinate-preserving graph-split BDE scan at GFN2-xTB level (parent geometry retained, each fragment as a doublet radical with</w:t>
      </w:r>
      <w:r>
        <w:t xml:space="preserve"> </w:t>
      </w:r>
      <m:oMath>
        <m:r>
          <m:rPr>
            <m:sty m:val="p"/>
          </m:rPr>
          <m:t>U</m:t>
        </m:r>
        <m:r>
          <m:rPr>
            <m:sty m:val="p"/>
          </m:rPr>
          <m:t>H</m:t>
        </m:r>
        <m:r>
          <m:rPr>
            <m:sty m:val="p"/>
          </m:rPr>
          <m:t>F</m:t>
        </m:r>
        <m:r>
          <m:rPr>
            <m:sty m:val="p"/>
          </m:rPr>
          <m:t>=</m:t>
        </m:r>
        <m:r>
          <m:t>1</m:t>
        </m:r>
      </m:oMath>
      <w:r>
        <w:t xml:space="preserve"> </w:t>
      </w:r>
      <w:r>
        <w:t xml:space="preserve">and no implicit-H addition) places the weakest-bond cleavage of L1 (3,4,5-trinitro-1,2-isoxazole) at</w:t>
      </w:r>
      <w:r>
        <w:t xml:space="preserve"> </w:t>
      </w:r>
      <w:r>
        <w:rPr>
          <w:b/>
          <w:bCs/>
        </w:rPr>
        <w:t xml:space="preserve">86.0 kcal/mol</w:t>
      </w:r>
      <w:r>
        <w:t xml:space="preserve"> </w:t>
      </w:r>
      <w:r>
        <w:t xml:space="preserve">on a C–NO</w:t>
      </w:r>
      <w:r>
        <w:rPr>
          <w:vertAlign w:val="subscript"/>
        </w:rPr>
        <w:t xml:space="preserve">2</w:t>
      </w:r>
      <w:r>
        <w:t xml:space="preserve"> </w:t>
      </w:r>
      <w:r>
        <w:t xml:space="preserve">bond (the dominant initiation channel), with two further C–NO</w:t>
      </w:r>
      <w:r>
        <w:rPr>
          <w:vertAlign w:val="subscript"/>
        </w:rPr>
        <w:t xml:space="preserve">2</w:t>
      </w:r>
      <w:r>
        <w:t xml:space="preserve"> </w:t>
      </w:r>
      <w:r>
        <w:t xml:space="preserve">channels at 91.3 and 92.3 kcal/mol; ring N–O bonds are at 170–186 kcal/mol (the unrelaxed-fragment xTB scan over-binds slightly relative to a fully relaxed</w:t>
      </w:r>
      <w:r>
        <w:t xml:space="preserve"> </w:t>
      </w:r>
      <m:oMath>
        <m:r>
          <m:t>ω</m:t>
        </m:r>
      </m:oMath>
      <w:r>
        <w:t xml:space="preserve">B97X-D3BJ recompute, but the chemistry assignment and the weakest-bond ranking are correct). E1 (4-nitro-1,2,3,5-oxatriazole) reaches its weakest cleavage at</w:t>
      </w:r>
      <w:r>
        <w:t xml:space="preserve"> </w:t>
      </w:r>
      <w:r>
        <w:rPr>
          <w:b/>
          <w:bCs/>
        </w:rPr>
        <w:t xml:space="preserve">92.7 kcal/mol</w:t>
      </w:r>
      <w:r>
        <w:t xml:space="preserve"> </w:t>
      </w:r>
      <w:r>
        <w:t xml:space="preserve">on the exocyclic C–NO</w:t>
      </w:r>
      <w:r>
        <w:rPr>
          <w:vertAlign w:val="subscript"/>
        </w:rPr>
        <w:t xml:space="preserve">2</w:t>
      </w:r>
      <w:r>
        <w:t xml:space="preserve"> </w:t>
      </w:r>
      <w:r>
        <w:t xml:space="preserve">bond, with no ring N–O channel below 180 kcal/mol. Relative to the Politzer–Murray Ar–NO</w:t>
      </w:r>
      <w:r>
        <w:rPr>
          <w:vertAlign w:val="subscript"/>
        </w:rPr>
        <w:t xml:space="preserve">2</w:t>
      </w:r>
      <w:r>
        <w:t xml:space="preserve"> </w:t>
      </w:r>
      <w:r>
        <w:t xml:space="preserve">typical (</w:t>
      </w:r>
      <m:oMath>
        <m:r>
          <m:rPr>
            <m:sty m:val="p"/>
          </m:rPr>
          <m:t>∼</m:t>
        </m:r>
      </m:oMath>
      <w: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t xml:space="preserve"> </w:t>
      </w:r>
      <w:r>
        <w:rPr>
          <w:rStyle w:val="VerbatimChar"/>
        </w:rPr>
        <w:t xml:space="preserve">t1_bde_bundle/</w:t>
      </w:r>
      <w:r>
        <w:t xml:space="preserve">.</w:t>
      </w:r>
    </w:p>
    <w:p>
      <w:pPr>
        <w:pStyle w:val="BodyText"/>
        <w:jc w:val="both"/>
        <w:keepNext w:val="0"/>
        <w:keepLines w:val="0"/>
        <w:widowControl w:val="1"/>
      </w:pPr>
      <w:r>
        <w:rPr>
          <w:b/>
          <w:bCs/>
        </w:rPr>
        <w:t xml:space="preserve">C.11 DNTF 7th-anchor extension attempt.</w:t>
      </w:r>
      <w:r>
        <w:t xml:space="preserve"> </w:t>
      </w:r>
      <w:r>
        <w:t xml:space="preserve">We attempted to add DNTF (3,4-bis(4-nitrofurazan-3-yl)furazan; the best-characterised furazan-class energetic material with known experimental properties:</w:t>
      </w:r>
      <w:r>
        <w:t xml:space="preserve"> </w:t>
      </w:r>
      <m:oMath>
        <m:sSub>
          <m:e>
            <m:r>
              <m:t>ρ</m:t>
            </m:r>
          </m:e>
          <m:sub>
            <m:r>
              <m:rPr>
                <m:nor/>
                <m:sty m:val="p"/>
              </m:rPr>
              <m:t>exp</m:t>
            </m:r>
          </m:sub>
        </m:sSub>
        <m:r>
          <m:rPr>
            <m:sty m:val="p"/>
          </m:rPr>
          <m:t>=</m:t>
        </m:r>
        <m:r>
          <m:t>1.937</m:t>
        </m:r>
      </m:oMath>
      <w:r>
        <w:t xml:space="preserve"> g/cm</w:t>
      </w:r>
      <w:r>
        <w:rPr>
          <w:vertAlign w:val="superscript"/>
        </w:rPr>
        <w:t xml:space="preserve">3</w:t>
      </w:r>
      <w:r>
        <w:t xml:space="preserve">,</w:t>
      </w:r>
      <w:r>
        <w:t xml:space="preserve"> </w:t>
      </w:r>
      <m:oMath>
        <m:sSub>
          <m:e>
            <m:r>
              <m:t>D</m:t>
            </m:r>
          </m:e>
          <m:sub>
            <m:r>
              <m:rPr>
                <m:nor/>
                <m:sty m:val="p"/>
              </m:rPr>
              <m:t>exp</m:t>
            </m:r>
          </m:sub>
        </m:sSub>
        <m:r>
          <m:rPr>
            <m:sty m:val="p"/>
          </m:rPr>
          <m:t>=</m:t>
        </m:r>
        <m:r>
          <m:t>9.25</m:t>
        </m:r>
      </m:oMath>
      <w:r>
        <w:t xml:space="preserve"> km/s) as a candidate 7th anchor using the same B3LYP/6-31G(d) +</w:t>
      </w:r>
      <w:r>
        <w:t xml:space="preserve"> </w:t>
      </w:r>
      <m:oMath>
        <m:r>
          <m:t>ω</m:t>
        </m:r>
      </m:oMath>
      <w:r>
        <w:t xml:space="preserve">B97X-D3BJ/def2-TZVP pipeline. DNTF proved an outlier: the 6-anchor calibration yields a leave-one-out</w:t>
      </w:r>
      <w:r>
        <w:t xml:space="preserve"> </w:t>
      </w:r>
      <m:oMath>
        <m:r>
          <m:t>ρ</m:t>
        </m:r>
      </m:oMath>
      <w:r>
        <w:t xml:space="preserve"> </w:t>
      </w:r>
      <w:r>
        <w:t xml:space="preserve">residual of</w:t>
      </w:r>
      <w:r>
        <w:t xml:space="preserve"> </w:t>
      </w:r>
      <m:oMath>
        <m:r>
          <m:rPr>
            <m:sty m:val="p"/>
          </m:rPr>
          <m:t>+</m:t>
        </m:r>
        <m:r>
          <m:t>0.122</m:t>
        </m:r>
      </m:oMath>
      <w:r>
        <w:t xml:space="preserve"> g/cm</w:t>
      </w:r>
      <w:r>
        <w:rPr>
          <w:vertAlign w:val="superscript"/>
        </w:rPr>
        <w:t xml:space="preserve">3</w:t>
      </w:r>
      <w:r>
        <w:t xml:space="preserve"> </w:t>
      </w:r>
      <w:r>
        <w:t xml:space="preserve">and</w:t>
      </w:r>
      <w:r>
        <w:t xml:space="preserve"> </w:t>
      </w:r>
      <m:oMath>
        <m:r>
          <m:rPr>
            <m:sty m:val="p"/>
          </m:rPr>
          <m:t>Δ</m:t>
        </m:r>
        <m:sSub>
          <m:e>
            <m:r>
              <m:t>H</m:t>
            </m:r>
          </m:e>
          <m:sub>
            <m:r>
              <m:t>f</m:t>
            </m:r>
          </m:sub>
        </m:sSub>
      </m:oMath>
      <w:r>
        <w:t xml:space="preserve"> </w:t>
      </w:r>
      <w:r>
        <w:t xml:space="preserve">residual of</w:t>
      </w:r>
      <w:r>
        <w:t xml:space="preserve"> </w:t>
      </w:r>
      <m:oMath>
        <m:r>
          <m:rPr>
            <m:sty m:val="p"/>
          </m:rPr>
          <m:t>−</m:t>
        </m:r>
        <m:r>
          <m:t>67.9</m:t>
        </m:r>
      </m:oMath>
      <w:r>
        <w:t xml:space="preserve"> kJ/mol for DNTF (versus</w:t>
      </w:r>
      <w:r>
        <w:t xml:space="preserve"> </w:t>
      </w:r>
      <m:oMath>
        <m:r>
          <m:rPr>
            <m:sty m:val="p"/>
          </m:rPr>
          <m:t>±</m:t>
        </m:r>
        <m:r>
          <m:t>0.025</m:t>
        </m:r>
      </m:oMath>
      <w:r>
        <w:t xml:space="preserve">–</w:t>
      </w:r>
      <m:oMath>
        <m:r>
          <m:t>0.049</m:t>
        </m:r>
      </m:oMath>
      <w:r>
        <w:t xml:space="preserve"> g/cm</w:t>
      </w:r>
      <w:r>
        <w:rPr>
          <w:vertAlign w:val="superscript"/>
        </w:rPr>
        <w:t xml:space="preserve">3</w:t>
      </w:r>
      <w:r>
        <w:t xml:space="preserve"> </w:t>
      </w:r>
      <w:r>
        <w:t xml:space="preserve">for the six main-set anchors), and the 7-anchor LOO-RMS rises from</w:t>
      </w:r>
      <w:r>
        <w:t xml:space="preserve"> </w:t>
      </w:r>
      <m:oMath>
        <m:r>
          <m:rPr>
            <m:sty m:val="p"/>
          </m:rPr>
          <m:t>∼</m:t>
        </m:r>
        <m:r>
          <m:t>0.032</m:t>
        </m:r>
      </m:oMath>
      <w:r>
        <w:t xml:space="preserve"> </w:t>
      </w:r>
      <w:r>
        <w:t xml:space="preserve">to</w:t>
      </w:r>
      <w:r>
        <w:t xml:space="preserve"> </w:t>
      </w:r>
      <m:oMath>
        <m:r>
          <m:t>0.055</m:t>
        </m:r>
      </m:oMath>
      <w:r>
        <w:t xml:space="preserve"> g/cm</w:t>
      </w:r>
      <w:r>
        <w:rPr>
          <w:vertAlign w:val="superscript"/>
        </w:rPr>
        <w:t xml:space="preserve">3</w:t>
      </w:r>
      <w: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is therefore retained. An oxatriazole-class anchor with experimental crystal density and detonation data remains scoped as future work before E1 can be promoted to fully co-headline status at the same confidence level as L1.</w:t>
      </w:r>
    </w:p>
    <w:p>
      <w:pPr>
        <w:pStyle w:val="BodyText"/>
        <w:jc w:val="both"/>
        <w:keepNext w:val="0"/>
        <w:keepLines w:val="0"/>
        <w:widowControl w:val="1"/>
      </w:pPr>
      <w:r>
        <w:rPr>
          <w:b/>
          <w:bCs/>
        </w:rPr>
        <w:t xml:space="preserve">C.12 Stage-3 xTB triage recipe.</w:t>
      </w:r>
      <w:r>
        <w:t xml:space="preserve"> </w:t>
      </w:r>
      <w:r>
        <w:t xml:space="preserve">The Stage-3 xTB triage referenced in §5.3 follows the standard pre-experimental screening recipe for computational energetic-materials chemistry: starting from canonical SMILES we run an RDKit ETKDGv3 conformer search, MMFF94 minimisation, and then xTB</w:t>
      </w:r>
      <w:r>
        <w:t xml:space="preserve"> </w:t>
      </w:r>
      <w:hyperlink r:id="rId20">
        <w:r>
          <w:rPr>
            <w:rStyle w:val="Hyperlink"/>
          </w:rPr>
          <w:t xml:space="preserve">[xtb-6.6.1]</w:t>
        </w:r>
      </w:hyperlink>
      <w:r>
        <w:t xml:space="preserve"> </w:t>
      </w:r>
      <w:r>
        <w:t xml:space="preserve">at the GFN2-xTB level with</w:t>
      </w:r>
      <w:r>
        <w:t xml:space="preserve"> </w:t>
      </w:r>
      <w:r>
        <w:rPr>
          <w:rStyle w:val="VerbatimChar"/>
        </w:rPr>
        <w:t xml:space="preserve">--opt tight</w:t>
      </w:r>
      <w: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t xml:space="preserve"> </w:t>
      </w:r>
      <m:oMath>
        <m:r>
          <m:rPr>
            <m:sty m:val="p"/>
          </m:rPr>
          <m:t>∼</m:t>
        </m:r>
      </m:oMath>
      <w:r>
        <w:t xml:space="preserve">1.5 eV are typically open-shell-like, sensitive to perturbation, and at high risk of decomposition under thermal or mechanical stress. Sensitivity is ultimately a product of weakest-bond chemistry and crystal packing as much as electronic structure</w:t>
      </w:r>
      <w:r>
        <w:t xml:space="preserve"> </w:t>
      </w:r>
      <w:hyperlink w:anchor="ref-mathieu2017sensitivity">
        <w:r>
          <w:rPr>
            <w:rStyle w:val="Hyperlink"/>
          </w:rPr>
          <w:t xml:space="preserve">[11a]</w:t>
        </w:r>
      </w:hyperlink>
      <w: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t xml:space="preserve"> </w:t>
      </w:r>
      <m:oMath>
        <m:r>
          <m:t>ω</m:t>
        </m:r>
      </m:oMath>
      <w:r>
        <w:t xml:space="preserve">B97X-D3BJ/def2-TZVP single-point</w:t>
      </w:r>
      <w:r>
        <w:t xml:space="preserve"> </w:t>
      </w:r>
      <m:oMath>
        <m:r>
          <m:rPr>
            <m:sty m:val="p"/>
          </m:rPr>
          <m:t>→</m:t>
        </m:r>
      </m:oMath>
      <w:r>
        <w:t xml:space="preserve"> </w:t>
      </w:r>
      <w:r>
        <w:t xml:space="preserve">6-anchor calibration (RDX, TATB, HMX, PETN, FOX-7, NTO)</w:t>
      </w:r>
      <w:r>
        <w:t xml:space="preserve"> </w:t>
      </w:r>
      <m:oMath>
        <m:r>
          <m:rPr>
            <m:sty m:val="p"/>
          </m:rPr>
          <m:t>→</m:t>
        </m:r>
      </m:oMath>
      <w:r>
        <w:t xml:space="preserve"> </w:t>
      </w:r>
      <w:r>
        <w:t xml:space="preserve">Kamlet–Jacobs</w:t>
      </w:r>
      <w:r>
        <w:t xml:space="preserve"> </w:t>
      </w:r>
      <m:oMath>
        <m:r>
          <m:t>D</m:t>
        </m:r>
      </m:oMath>
      <w:r>
        <w:t xml:space="preserve"> </w:t>
      </w:r>
      <w:r>
        <w:t xml:space="preserve">and</w:t>
      </w:r>
      <w:r>
        <w:t xml:space="preserve"> </w:t>
      </w:r>
      <m:oMath>
        <m:r>
          <m:t>P</m:t>
        </m:r>
      </m:oMath>
      <w:r>
        <w:t xml:space="preserve"> </w:t>
      </w:r>
      <w:r>
        <w:t xml:space="preserve">used by Stage 4 (full functional/basis justification, thermal-correction handling, and calibration uncertainty bounds in C.1–C.4 above).</w:t>
      </w:r>
    </w:p>
    <w:p>
      <w:pPr>
        <w:pStyle w:val="BodyText"/>
        <w:jc w:val="both"/>
        <w:keepNext w:val="0"/>
        <w:keepLines w:val="0"/>
        <w:widowControl w:val="1"/>
      </w:pPr>
      <w:r>
        <w:rPr>
          <w:b/>
          <w:bCs/>
        </w:rPr>
        <w:t xml:space="preserve">C.13 Independent CJ cross-check.</w:t>
      </w:r>
      <w:r>
        <w:t xml:space="preserve"> </w:t>
      </w:r>
      <w:r>
        <w:t xml:space="preserve">A thermochemical-equilibrium Cantera ideal-gas Chapman–Jouguet recompute is provided as an independent relative-ranking sanity check on the §5.3 K-J results. The Cantera ideal-gas equation of state is</w:t>
      </w:r>
      <w:r>
        <w:t xml:space="preserve"> </w:t>
      </w:r>
      <m:oMath>
        <m:r>
          <m:rPr>
            <m:sty m:val="p"/>
          </m:rPr>
          <m:t>∼</m:t>
        </m:r>
      </m:oMath>
      <w:r>
        <w:t xml:space="preserve">3.5</w:t>
      </w:r>
      <m:oMath>
        <m:r>
          <m:rPr>
            <m:sty m:val="p"/>
          </m:rPr>
          <m:t>×</m:t>
        </m:r>
      </m:oMath>
      <w:r>
        <w:t xml:space="preserve"> </w:t>
      </w:r>
      <w:r>
        <w:t xml:space="preserve">too low in absolute terms (RDX predicts</w:t>
      </w:r>
      <w:r>
        <w:t xml:space="preserve"> </w:t>
      </w:r>
      <m:oMath>
        <m:r>
          <m:t>2.50</m:t>
        </m:r>
      </m:oMath>
      <w:r>
        <w:t xml:space="preserve"> km/s vs experimental</w:t>
      </w:r>
      <w:r>
        <w:t xml:space="preserve"> </w:t>
      </w:r>
      <m:oMath>
        <m:r>
          <m:t>8.75</m:t>
        </m:r>
      </m:oMath>
      <w: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vertAlign w:val="subscript"/>
        </w:rPr>
        <w:t xml:space="preserve">2</w:t>
      </w:r>
      <w:r>
        <w:t xml:space="preserve">/H</w:t>
      </w:r>
      <w:r>
        <w:rPr>
          <w:vertAlign w:val="subscript"/>
        </w:rPr>
        <w:t xml:space="preserve">2</w:t>
      </w:r>
      <w:r>
        <w:t xml:space="preserve">O-dominant CHNO product distribution; cross-family ranking with N</w:t>
      </w:r>
      <w:r>
        <w:rPr>
          <w:vertAlign w:val="subscript"/>
        </w:rPr>
        <w:t xml:space="preserve">2</w:t>
      </w:r>
      <w:r>
        <w:t xml:space="preserve">-dominant tetrazoline-class compounds would require a covolume EOS recompute), providing a qualitative consistency check that the headline</w:t>
      </w:r>
      <w:r>
        <w:t xml:space="preserve"> </w:t>
      </w:r>
      <m:oMath>
        <m:r>
          <m:t>D</m:t>
        </m:r>
      </m:oMath>
      <w:r>
        <w:t xml:space="preserve"> </w:t>
      </w:r>
      <w:r>
        <w:t xml:space="preserve">claim for L1 is reasonable. Absolute paper-grade</w:t>
      </w:r>
      <w:r>
        <w:t xml:space="preserve"> </w:t>
      </w:r>
      <m:oMath>
        <m:r>
          <m:t>D</m:t>
        </m:r>
      </m:oMath>
      <w:r>
        <w:t xml:space="preserve"> </w:t>
      </w:r>
      <w:r>
        <w:t xml:space="preserve">is out of scope here (see §6 Limitations). A sensitivity decomposition (per-lead slopes</w:t>
      </w:r>
      <w: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t xml:space="preserve"> km/s per g/cm</w:t>
      </w:r>
      <w:r>
        <w:rPr>
          <w:vertAlign w:val="superscript"/>
        </w:rPr>
        <w:t xml:space="preserve">3</w:t>
      </w:r>
      <w:r>
        <w:t xml:space="preserve">;</w:t>
      </w:r>
      <w: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t xml:space="preserve"> km/s per 100 kJ/mol; see Table 3) confirms that residual K-J vs 3D-CNN deviations on the other leads cannot be attributed to plausible</w:t>
      </w:r>
      <w:r>
        <w:t xml:space="preserve"> </w:t>
      </w:r>
      <m:oMath>
        <m:r>
          <m:t>ρ</m:t>
        </m:r>
      </m:oMath>
      <w:r>
        <w:t xml:space="preserve"> </w:t>
      </w:r>
      <w:r>
        <w:t xml:space="preserve">or HOF input errors; the dominant residual source remains the K-J formula's fixed gas-product-distribution assumption in the high-N CHNO regime. A composite-method HOF benchmark (G4 or CBS-QB3 atomization energies at</w:t>
      </w:r>
      <w:r>
        <w:t xml:space="preserve"> </w:t>
      </w:r>
      <m:oMath>
        <m:r>
          <m:rPr>
            <m:sty m:val="p"/>
          </m:rPr>
          <m:t>∼</m:t>
        </m:r>
      </m:oMath>
      <w:r>
        <w:t xml:space="preserve">6–24 hr CPU per molecule) would tighten the absolute energetics for the top leads but does not change the relative ranking.</w:t>
      </w:r>
    </w:p>
    <w:bookmarkEnd w:id="21"/>
    <w:bookmarkStart w:id="35" w:name="Xa4532ab44f8731e5d9ddae9565c93e8c6327743"/>
    <w:p>
      <w:pPr>
        <w:pStyle w:val="Heading3"/>
        <w:keepNext/>
        <w:keepLines/>
        <w:widowControl w:val="1"/>
      </w:pPr>
      <w:r>
        <w:t xml:space="preserve">D. Reproducibility details and superseded ablations</w:t>
      </w:r>
    </w:p>
    <w:p>
      <w:pPr>
        <w:pStyle w:val="FirstParagraph"/>
        <w:jc w:val="both"/>
        <w:keepNext w:val="0"/>
        <w:keepLines w:val="0"/>
        <w:widowControl w:val="1"/>
      </w:pPr>
      <w:r>
        <w:t xml:space="preserve">This appendix collects implementation-specific names, version codes, hardware configurations, hyperparameter ablations, and superseded results that are not required for the body claims but are needed for full reproducibility.</w:t>
      </w:r>
    </w:p>
    <w:p>
      <w:pPr>
        <w:pStyle w:val="BodyText"/>
        <w:jc w:val="both"/>
        <w:keepNext w:val="0"/>
        <w:keepLines w:val="0"/>
        <w:widowControl w:val="1"/>
      </w:pPr>
      <w:r>
        <w:rPr>
          <w:b/>
          <w:bCs/>
        </w:rPr>
        <w:t xml:space="preserve">D.1 Score-model variants.</w:t>
      </w:r>
      <w:r>
        <w:t xml:space="preserve"> </w:t>
      </w:r>
      <w:r>
        <w:t xml:space="preserve">Two score-model checkpoints are released on Zenodo: the production 6-head hazard-aware model (</w:t>
      </w:r>
      <w:r>
        <w:rPr>
          <w:rStyle w:val="VerbatimChar"/>
        </w:rPr>
        <w:t xml:space="preserve">score_model_v3f</w:t>
      </w:r>
      <w:r>
        <w:t xml:space="preserve"> </w:t>
      </w:r>
      <w:r>
        <w:t xml:space="preserve">in the archive; matches §4.7 + Table B.5) and its 5-head predecessor (</w:t>
      </w:r>
      <w:r>
        <w:rPr>
          <w:rStyle w:val="VerbatimChar"/>
        </w:rPr>
        <w:t xml:space="preserve">score_model_v3e</w:t>
      </w:r>
      <w:r>
        <w:t xml:space="preserve">); body-text numbers use the 6-head production checkpoint with the hand-coded SMARTS backend (</w:t>
      </w:r>
      <w:r>
        <w:rPr>
          <w:rStyle w:val="VerbatimChar"/>
        </w:rPr>
        <w:t xml:space="preserve">chem_redflags.py</w:t>
      </w:r>
      <w:r>
        <w:t xml:space="preserve">).</w:t>
      </w:r>
    </w:p>
    <w:p>
      <w:pPr>
        <w:pStyle w:val="BodyText"/>
        <w:jc w:val="both"/>
        <w:keepNext w:val="0"/>
        <w:keepLines w:val="0"/>
        <w:widowControl w:val="1"/>
      </w:pPr>
      <w:r>
        <w:rPr>
          <w:b/>
          <w:bCs/>
        </w:rPr>
        <w:t xml:space="preserve">D.2 Compute budget.</w:t>
      </w:r>
      <w:r>
        <w:t xml:space="preserve"> </w:t>
      </w:r>
      <w:r>
        <w:t xml:space="preserve">Single-seed pool=40 000 head-to-head: ~8 min on a single consumer GPU; 4-condition × 3-seed pool=10 000: ~25 min. Full DFT audit (15–25-atom CHNO molecules): ~1 GPU-hour per molecule. Full DGLD pipeline (corpus to merged top-100): ~2 GPU-hours.</w:t>
      </w:r>
    </w:p>
    <w:p>
      <w:pPr>
        <w:pStyle w:val="BodyText"/>
        <w:jc w:val="both"/>
        <w:keepNext w:val="0"/>
        <w:keepLines w:val="0"/>
        <w:widowControl w:val="1"/>
      </w:pPr>
      <w:r>
        <w:rPr>
          <w:b/>
          <w:bCs/>
        </w:rPr>
        <w:t xml:space="preserve">D.3 Hyperparameter values.</w:t>
      </w:r>
      <w:r>
        <w:t xml:space="preserve"> </w:t>
      </w:r>
      <w:r>
        <w:t xml:space="preserve">cfg-dropout 0.10, property-dropout 0.30, oversample factor 5</w:t>
      </w:r>
      <m:oMath>
        <m:r>
          <m:rPr>
            <m:sty m:val="p"/>
          </m:rPr>
          <m:t>×</m:t>
        </m:r>
      </m:oMath>
      <w:r>
        <w:t xml:space="preserve">–10</w:t>
      </w:r>
      <m:oMath>
        <m:r>
          <m:rPr>
            <m:sty m:val="p"/>
          </m:rPr>
          <m:t>×</m:t>
        </m:r>
      </m:oMath>
      <w:r>
        <w:t xml:space="preserve"> </w:t>
      </w:r>
      <w:r>
        <w:t xml:space="preserve">above the 90th percentile (high tail), Tanimoto window (0.20, 0.55), CFG scale</w:t>
      </w:r>
      <w:r>
        <w:t xml:space="preserve"> </w:t>
      </w:r>
      <m:oMath>
        <m:r>
          <m:t>w</m:t>
        </m:r>
        <m:r>
          <m:rPr>
            <m:sty m:val="p"/>
          </m:rPr>
          <m:t>=</m:t>
        </m:r>
        <m:r>
          <m:t>7</m:t>
        </m:r>
      </m:oMath>
      <w:r>
        <w:t xml:space="preserve">, DDIM steps</w:t>
      </w:r>
      <w:r>
        <w:t xml:space="preserve"> </w:t>
      </w:r>
      <m:oMath>
        <m:r>
          <m:t>n</m:t>
        </m:r>
        <m:r>
          <m:rPr>
            <m:sty m:val="p"/>
          </m:rPr>
          <m:t>=</m:t>
        </m:r>
        <m:r>
          <m:t>40</m:t>
        </m:r>
      </m:oMath>
      <w:r>
        <w:t xml:space="preserve">. Per-component values are in Appendix B.</w:t>
      </w:r>
    </w:p>
    <w:p>
      <w:pPr>
        <w:pStyle w:val="BodyText"/>
        <w:jc w:val="both"/>
        <w:keepNext w:val="0"/>
        <w:keepLines w:val="0"/>
        <w:widowControl w:val="1"/>
      </w:pPr>
      <w:r>
        <w:rPr>
          <w:b/>
          <w:bCs/>
        </w:rPr>
        <w:t xml:space="preserve">D.4 High-tail oversampling ablation.</w:t>
      </w:r>
      <w:r>
        <w:t xml:space="preserve"> </w:t>
      </w:r>
      <w:r>
        <w:t xml:space="preserve">Reverting the asymmetric oversampling of §3.3 produces leads with a 0.4 km/s lower mean predicted detonation velocity at matched pool size and matched downstream pipeline.</w:t>
      </w:r>
    </w:p>
    <w:p>
      <w:pPr>
        <w:pStyle w:val="BodyText"/>
        <w:jc w:val="both"/>
        <w:keepNext w:val="0"/>
        <w:keepLines w:val="0"/>
        <w:widowControl w:val="1"/>
      </w:pPr>
      <w:r>
        <w:rPr>
          <w:b/>
          <w:bCs/>
        </w:rPr>
        <w:t xml:space="preserve">D.5 Diagnostic protocol.</w:t>
      </w:r>
      <w:r>
        <w:t xml:space="preserve"> </w:t>
      </w:r>
      <w:r>
        <w:t xml:space="preserve">The guidance patching of §4.9 was diagnosed via per-step gradient-norm logging, score-model output sensitivity to perturbed</w:t>
      </w:r>
      <w:r>
        <w:t xml:space="preserve"> </w:t>
      </w:r>
      <m:oMath>
        <m:r>
          <m:t>z</m:t>
        </m:r>
      </m:oMath>
      <w:r>
        <w:t xml:space="preserve">, final-</w:t>
      </w:r>
      <m:oMath>
        <m:r>
          <m:t>z</m:t>
        </m:r>
      </m:oMath>
      <w:r>
        <w:t xml:space="preserve"> </w:t>
      </w:r>
      <w:r>
        <w:t xml:space="preserve">cosine similarity across conditions, and decoder argmax-basin width. The protocol is released as</w:t>
      </w:r>
      <w:r>
        <w:t xml:space="preserve"> </w:t>
      </w:r>
      <w:r>
        <w:rPr>
          <w:rStyle w:val="VerbatimChar"/>
        </w:rPr>
        <w:t xml:space="preserve">diag_guidance.py</w:t>
      </w:r>
      <w:r>
        <w:t xml:space="preserve">.</w:t>
      </w:r>
    </w:p>
    <w:p>
      <w:pPr>
        <w:pStyle w:val="BodyText"/>
        <w:jc w:val="both"/>
        <w:keepNext w:val="0"/>
        <w:keepLines w:val="0"/>
        <w:widowControl w:val="1"/>
      </w:pPr>
      <w:r>
        <w:rPr>
          <w:b/>
          <w:bCs/>
        </w:rPr>
        <w:t xml:space="preserve">D.6 Patched-configuration head-state grid (full table) and sensitivity-head ablation.</w:t>
      </w:r>
      <w:r>
        <w:t xml:space="preserve"> </w:t>
      </w:r>
      <w:r>
        <w:t xml:space="preserve">§5.3 reports the headline finding (12 cells collapsing to 4 distinct outputs); the full md5 cluster table is:</w:t>
      </w:r>
    </w:p>
    <w:p>
      <w:pPr>
        <w:pStyle w:val="BodyText"/>
        <w:jc w:val="both"/>
        <w:keepNext w:val="0"/>
        <w:keepLines w:val="0"/>
        <w:widowControl w:val="1"/>
      </w:pPr>
      <w:r>
        <w:rPr>
          <w:b/>
          <w:bCs/>
        </w:rPr>
        <w:t xml:space="preserve">Table D.1.</w:t>
      </w:r>
      <w:r>
        <w:t xml:space="preserve"> </w:t>
      </w:r>
      <w:r>
        <w:t xml:space="preserve">12-cell head-state grid over</w:t>
      </w:r>
      <w: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t xml:space="preserve"> </w:t>
      </w:r>
      <w:r>
        <w:t xml:space="preserve">and</w:t>
      </w:r>
      <w: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t xml:space="preserve"> </w:t>
      </w:r>
      <w: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sv0_sh0 (1)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unguided / CFG-only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f0438f…</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B</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sv0_sh{1,2,5} (3)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93da34…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sv{1,5}_sh0 (2)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viab-only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c83f06…</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sv{1,5}_sh{1,2,5} (6)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viab + hazard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e26b43…</w:t>
            </w:r>
          </w:p>
        </w:tc>
      </w:tr>
    </w:tbl>
    <w:p>
      <w:pPr>
        <w:pStyle w:val="BodyText"/>
        <w:spacing w:before="160"/>
        <w:jc w:val="both"/>
        <w:keepNext w:val="0"/>
        <w:keepLines w:val="0"/>
        <w:widowControl w:val="1"/>
      </w:pPr>
      <w: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BodyText"/>
        <w:jc w:val="both"/>
        <w:keepNext w:val="0"/>
        <w:keepLines w:val="0"/>
        <w:widowControl w:val="1"/>
      </w:pPr>
      <w:r>
        <w:t xml:space="preserve">Heuristic vs literature-grounded sensitivity head. Three-way ablation (each condition: 2 pools</w:t>
      </w:r>
      <w:r>
        <w:t xml:space="preserve"> </w:t>
      </w:r>
      <m:oMath>
        <m:r>
          <m:rPr>
            <m:sty m:val="p"/>
          </m:rPr>
          <m:t>×</m:t>
        </m:r>
      </m:oMath>
      <w:r>
        <w:t xml:space="preserve"> </w:t>
      </w:r>
      <w:r>
        <w:t xml:space="preserve">1500 = 3000 samples, identical CFG, identical Pareto reranker, single seed) substituting the literature-grounded sensitivity head (Appendix B.2):</w:t>
      </w:r>
    </w:p>
    <w:p>
      <w:pPr>
        <w:pStyle w:val="BodyText"/>
        <w:jc w:val="both"/>
        <w:keepNext w:val="0"/>
        <w:keepLines w:val="0"/>
        <w:widowControl w:val="1"/>
      </w:pPr>
      <w:r>
        <w:rPr>
          <w:b/>
          <w:bCs/>
        </w:rPr>
        <w:t xml:space="preserve">Table D.2.</w:t>
      </w:r>
      <w:r>
        <w:t xml:space="preserve"> </w:t>
      </w:r>
      <w:r>
        <w:t xml:space="preserve">Heuristic vs literature-grounded sensitivity-head ablation at pool=3 000 single seed: unguided baseline;</w:t>
      </w:r>
      <w:r>
        <w:t xml:space="preserve"> </w:t>
      </w:r>
      <m:oMath>
        <m:sSub>
          <m:e>
            <m:r>
              <m:t>s</m:t>
            </m:r>
          </m:e>
          <m:sub>
            <m:r>
              <m:rPr>
                <m:nor/>
                <m:sty m:val="p"/>
              </m:rPr>
              <m:t>sens</m:t>
            </m:r>
          </m:sub>
        </m:sSub>
        <m:r>
          <m:rPr>
            <m:sty m:val="p"/>
          </m:rPr>
          <m:t>=</m:t>
        </m:r>
        <m:r>
          <m:t>0.3</m:t>
        </m:r>
      </m:oMath>
      <w:r>
        <w:t xml:space="preserve"> </w:t>
      </w:r>
      <w:r>
        <w:t xml:space="preserve">with the heuristic-trained head;</w:t>
      </w:r>
      <w:r>
        <w:t xml:space="preserve"> </w:t>
      </w:r>
      <m:oMath>
        <m:sSub>
          <m:e>
            <m:r>
              <m:t>s</m:t>
            </m:r>
          </m:e>
          <m:sub>
            <m:r>
              <m:rPr>
                <m:nor/>
                <m:sty m:val="p"/>
              </m:rPr>
              <m:t>sens</m:t>
            </m:r>
          </m:sub>
        </m:sSub>
        <m:r>
          <m:rPr>
            <m:sty m:val="p"/>
          </m:rPr>
          <m:t>=</m:t>
        </m:r>
        <m:r>
          <m:t>0.3</m:t>
        </m:r>
      </m:oMath>
      <w:r>
        <w:t xml:space="preserve"> </w:t>
      </w:r>
      <w:r>
        <w:t xml:space="preserve">with the literature-grounded h</w:t>
      </w:r>
      <w:r>
        <w:rPr>
          <w:vertAlign w:val="subscript"/>
        </w:rPr>
        <w:t xml:space="preserve">50</w:t>
      </w:r>
      <w:r>
        <w:t xml:space="preserve">-trained head. The literature-grounded head reduces top-5 mean sensitivity by</w:t>
      </w:r>
      <w:r>
        <w:t xml:space="preserve"> </w:t>
      </w:r>
      <m:oMath>
        <m:r>
          <m:rPr>
            <m:sty m:val="p"/>
          </m:rPr>
          <m:t>∼</m:t>
        </m:r>
        <m:r>
          <m:t>8</m:t>
        </m:r>
        <m:r>
          <m:rPr>
            <m:sty m:val="p"/>
          </m:rPr>
          <m:t>×</m:t>
        </m:r>
      </m:oMath>
      <w:r>
        <w:t xml:space="preserve"> </w:t>
      </w:r>
      <w:r>
        <w:t xml:space="preserve">at the cost of</w:t>
      </w:r>
      <w:r>
        <w:t xml:space="preserve"> </w:t>
      </w:r>
      <m:oMath>
        <m:r>
          <m:rPr>
            <m:sty m:val="p"/>
          </m:rPr>
          <m:t>∼</m:t>
        </m:r>
      </m:oMath>
      <w:r>
        <w:t xml:space="preserve">0.4 km/s on top-1</w:t>
      </w:r>
      <w:r>
        <w:t xml:space="preserve"> </w:t>
      </w:r>
      <m:oMath>
        <m:r>
          <m:t>D</m:t>
        </m:r>
      </m:oMath>
      <w: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 unguided (no score model)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 heuristic sensitivity head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9.46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 literature-grounded sensitivity head (h</w:t>
            </w:r>
            <w:r>
              <w:rPr>
                <w:rFonts w:ascii="Times New Roman" w:hAnsi="Times New Roman"/>
                <w:sz w:val="20"/>
                <w:vertAlign w:val="subscript"/>
              </w:rPr>
              <w:t xml:space="preserve">50</w:t>
            </w: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0.421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8.75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8.63</w:t>
            </w:r>
          </w:p>
        </w:tc>
      </w:tr>
    </w:tbl>
    <w:p>
      <w:pPr>
        <w:pStyle w:val="BodyText"/>
        <w:spacing w:before="160"/>
        <w:jc w:val="both"/>
        <w:keepNext w:val="0"/>
        <w:keepLines w:val="0"/>
        <w:widowControl w:val="1"/>
      </w:pPr>
      <w:r>
        <w:t xml:space="preserve">The literature-grounded h50 head reduces top-5 mean sensitivity by ~8× at the cost of ~0.4 km/s on top-1 D; preferred when candidate stability is the priority over peak performance.</w:t>
      </w:r>
    </w:p>
    <w:p>
      <w:pPr>
        <w:pStyle w:val="BodyText"/>
        <w:jc w:val="both"/>
        <w:keepNext w:val="0"/>
        <w:keepLines w:val="0"/>
        <w:widowControl w:val="1"/>
      </w:pPr>
      <w:r>
        <w:rPr>
          <w:b/>
          <w:bCs/>
        </w:rPr>
        <w:t xml:space="preserve">D.7 Strengthened SMARTS catalog: per-class breakdown.</w:t>
      </w:r>
      <w:r>
        <w:t xml:space="preserve"> </w:t>
      </w:r>
      <w:r>
        <w:t xml:space="preserve">Two motif classes well-known to the energetic-materials community as shock-sensitive or thermally unstable were added to the SMARTS catalog (§5.4): N-nitroimines (R−N=N−NO</w:t>
      </w:r>
      <w:r>
        <w:rPr>
          <w:vertAlign w:val="subscript"/>
        </w:rPr>
        <w:t xml:space="preserve">2</w:t>
      </w:r>
      <w:r>
        <w:t xml:space="preserve"> </w:t>
      </w:r>
      <w:r>
        <w:t xml:space="preserve">at non-aromatic nitrogens) and open-chain polyazene / azo-nitro motifs. Strict reject SMARTS (</w:t>
      </w:r>
      <w:r>
        <w:rPr>
          <w:rStyle w:val="VerbatimChar"/>
        </w:rPr>
        <w:t xml:space="preserve">n_nitroimine</w:t>
      </w:r>
      <w:r>
        <w:t xml:space="preserve">,</w:t>
      </w:r>
      <w:r>
        <w:t xml:space="preserve"> </w:t>
      </w:r>
      <w:r>
        <w:rPr>
          <w:rStyle w:val="VerbatimChar"/>
        </w:rPr>
        <w:t xml:space="preserve">azo_nitro_terminal</w:t>
      </w:r>
      <w:r>
        <w:t xml:space="preserve">,</w:t>
      </w:r>
      <w:r>
        <w:t xml:space="preserve"> </w:t>
      </w:r>
      <w:r>
        <w:rPr>
          <w:rStyle w:val="VerbatimChar"/>
        </w:rPr>
        <w:t xml:space="preserve">azo_amino_nitro</w:t>
      </w:r>
      <w:r>
        <w:t xml:space="preserve">,</w:t>
      </w:r>
      <w:r>
        <w:t xml:space="preserve"> </w:t>
      </w:r>
      <w:r>
        <w:rPr>
          <w:rStyle w:val="VerbatimChar"/>
        </w:rPr>
        <w:t xml:space="preserve">tetraazene_open</w:t>
      </w:r>
      <w:r>
        <w:t xml:space="preserve">,</w:t>
      </w:r>
      <w:r>
        <w:t xml:space="preserve"> </w:t>
      </w:r>
      <w:r>
        <w:rPr>
          <w:rStyle w:val="VerbatimChar"/>
        </w:rPr>
        <w:t xml:space="preserve">open_chain_4N</w:t>
      </w:r>
      <w:r>
        <w:t xml:space="preserve">,</w:t>
      </w:r>
      <w:r>
        <w:t xml:space="preserve"> </w:t>
      </w:r>
      <w:r>
        <w:rPr>
          <w:rStyle w:val="VerbatimChar"/>
        </w:rPr>
        <w:t xml:space="preserve">n_n_c_n_n_chain</w:t>
      </w:r>
      <w:r>
        <w:t xml:space="preserve">) reapplied post-hoc to the merged top-100:</w:t>
      </w:r>
    </w:p>
    <w:p>
      <w:pPr>
        <w:pStyle w:val="BodyText"/>
        <w:jc w:val="both"/>
        <w:keepNext w:val="0"/>
        <w:keepLines w:val="0"/>
        <w:widowControl w:val="1"/>
      </w:pPr>
      <w:r>
        <w:rPr>
          <w:b/>
          <w:bCs/>
        </w:rPr>
        <w:t xml:space="preserve">Table D.3.</w:t>
      </w:r>
      <w:r>
        <w:t xml:space="preserve"> </w:t>
      </w:r>
      <w:r>
        <w:t xml:space="preserve">Per-class breakdown of the 23/100 strengthened-SMARTS rejects on the merged top-100. The new motif rules (N-nitroimine; terminal azo−NO</w:t>
      </w:r>
      <w:r>
        <w:rPr>
          <w:vertAlign w:val="subscript"/>
        </w:rPr>
        <w:t xml:space="preserve">2</w:t>
      </w:r>
      <w:r>
        <w:t xml:space="preserve">; azo−amino−NO</w:t>
      </w:r>
      <w:r>
        <w:rPr>
          <w:vertAlign w:val="subscript"/>
        </w:rPr>
        <w:t xml:space="preserve">2</w:t>
      </w:r>
      <w: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N-nitroimine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terminal azo−NO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azo−amino−NO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cumulated cyclopropene (residual)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Total rejected</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23 / 100</w:t>
            </w:r>
          </w:p>
        </w:tc>
      </w:tr>
    </w:tbl>
    <w:p>
      <w:pPr>
        <w:pStyle w:val="BodyText"/>
        <w:spacing w:before="160"/>
        <w:jc w:val="both"/>
        <w:keepNext w:val="0"/>
        <w:keepLines w:val="0"/>
        <w:widowControl w:val="1"/>
      </w:pPr>
      <w:r>
        <w:t xml:space="preserve">The strengthened filter retains 77/100 candidates; the rank-1 trinitro-isoxazole survives. Crossing with the xTB HOMO-LUMO ≥ 1.5 eV gate gives an estimated 60-65/100 dual-pass set; 77/100 is the conservative figure used by the validation chain.</w:t>
      </w:r>
    </w:p>
    <w:bookmarkStart w:id="22" w:name="d.8-cfg-scale-ablation"/>
    <w:p>
      <w:pPr>
        <w:pStyle w:val="Heading4"/>
        <w:keepNext/>
        <w:keepLines/>
        <w:widowControl w:val="1"/>
      </w:pPr>
      <w:r>
        <w:t xml:space="preserve">D.8 CFG-scale ablation</w:t>
      </w:r>
    </w:p>
    <w:p>
      <w:pPr>
        <w:pStyle w:val="FirstParagraph"/>
        <w:jc w:val="both"/>
        <w:keepNext w:val="0"/>
        <w:keepLines w:val="0"/>
        <w:widowControl w:val="1"/>
      </w:pPr>
      <w:r>
        <w:t xml:space="preserve">Three runs at</w:t>
      </w:r>
      <w:r>
        <w:t xml:space="preserve"> </w:t>
      </w:r>
      <m:oMath>
        <m:r>
          <m:t>w</m:t>
        </m:r>
        <m:r>
          <m:rPr>
            <m:sty m:val="p"/>
          </m:rPr>
          <m:t>∈</m:t>
        </m:r>
        <m:r>
          <m:rPr>
            <m:sty m:val="p"/>
          </m:rPr>
          <m:t>{</m:t>
        </m:r>
        <m:r>
          <m:t>5</m:t>
        </m:r>
        <m:r>
          <m:rPr>
            <m:sty m:val="p"/>
          </m:rPr>
          <m:t>,</m:t>
        </m:r>
        <m:r>
          <m:t>7</m:t>
        </m:r>
        <m:r>
          <m:rPr>
            <m:sty m:val="p"/>
          </m:rPr>
          <m:t>,</m:t>
        </m:r>
        <m:r>
          <m:t>9</m:t>
        </m:r>
        <m:r>
          <m:rPr>
            <m:sty m:val="p"/>
          </m:rPr>
          <m:t>}</m:t>
        </m:r>
      </m:oMath>
      <w:r>
        <w:t xml:space="preserve"> </w:t>
      </w:r>
      <w:r>
        <w:t xml:space="preserve">with pool=8 000 each. Increasing</w:t>
      </w:r>
      <w:r>
        <w:t xml:space="preserve"> </w:t>
      </w:r>
      <m:oMath>
        <m:r>
          <m:t>w</m:t>
        </m:r>
      </m:oMath>
      <w:r>
        <w:t xml:space="preserve"> </w:t>
      </w:r>
      <w:r>
        <w:t xml:space="preserve">sharpens the predicted-property distribution but reduces filter pass-through.</w:t>
      </w:r>
      <w:r>
        <w:t xml:space="preserve"> </w:t>
      </w:r>
      <m:oMath>
        <m:r>
          <m:t>w</m:t>
        </m:r>
        <m:r>
          <m:rPr>
            <m:sty m:val="p"/>
          </m:rPr>
          <m:t>=</m:t>
        </m:r>
        <m:r>
          <m:t>7</m:t>
        </m:r>
      </m:oMath>
      <w:r>
        <w:t xml:space="preserve"> </w:t>
      </w:r>
      <w:r>
        <w:t xml:space="preserve">is the empirical optimum: 983 final candidates and a top score of 0.70.</w:t>
      </w:r>
      <w:r>
        <w:t xml:space="preserve"> </w:t>
      </w:r>
      <m:oMath>
        <m:r>
          <m:t>w</m:t>
        </m:r>
        <m:r>
          <m:rPr>
            <m:sty m:val="p"/>
          </m:rPr>
          <m:t>=</m:t>
        </m:r>
        <m:r>
          <m:t>9</m:t>
        </m:r>
      </m:oMath>
      <w:r>
        <w:t xml:space="preserve"> </w:t>
      </w:r>
      <w:r>
        <w:t xml:space="preserve">drops to 427 surviving candidates with a slightly worse top score.</w:t>
      </w:r>
      <w:r>
        <w:t xml:space="preserve"> </w:t>
      </w:r>
      <m:oMath>
        <m:r>
          <m:t>w</m:t>
        </m:r>
        <m:r>
          <m:rPr>
            <m:sty m:val="p"/>
          </m:rPr>
          <m:t>=</m:t>
        </m:r>
        <m:r>
          <m:t>5</m:t>
        </m:r>
      </m:oMath>
      <w:r>
        <w:t xml:space="preserve"> </w:t>
      </w:r>
      <w:r>
        <w:t xml:space="preserve">over-explores: 528 final candidates, top score 0.92 (Figure 16).</w:t>
      </w:r>
    </w:p>
    <w:p>
      <w:pPr>
        <w:pStyle w:val="BodyText"/>
        <w:jc w:val="both"/>
        <w:keepNext w:val="0"/>
        <w:keepLines w:val="0"/>
        <w:widowControl w:val="1"/>
      </w:pPr>
      <w:r>
        <w:t xml:space="preserve">The v4b production-architecture sweep (50 samples per target, three quantile bands per property; full table in</w:t>
      </w:r>
      <w:r>
        <w:t xml:space="preserve"> </w:t>
      </w:r>
      <w:r>
        <w:rPr>
          <w:rStyle w:val="VerbatimChar"/>
        </w:rPr>
        <w:t xml:space="preserve">experiments/diffusion_subset_cond_expanded_v4b_20260426T000541Z/cfg_sweep.md</w:t>
      </w:r>
      <w:r>
        <w:t xml:space="preserve">) confirms that</w:t>
      </w:r>
      <w:r>
        <w:t xml:space="preserve"> </w:t>
      </w:r>
      <m:oMath>
        <m:r>
          <m:t>w</m:t>
        </m:r>
        <m:r>
          <m:rPr>
            <m:sty m:val="p"/>
          </m:rPr>
          <m:t>=</m:t>
        </m:r>
        <m:r>
          <m:t>7</m:t>
        </m:r>
      </m:oMath>
      <w:r>
        <w:t xml:space="preserve"> </w:t>
      </w:r>
      <w:r>
        <w:t xml:space="preserve">gives the best mean per-property quantile match. Representative q90 (high-extreme) rows below illustrate the trade-off: density and detonation-velocity quantile error fall monotonically with increasing</w:t>
      </w:r>
      <w:r>
        <w:t xml:space="preserve"> </w:t>
      </w:r>
      <m:oMath>
        <m:r>
          <m:t>w</m:t>
        </m:r>
      </m:oMath>
      <w:r>
        <w:t xml:space="preserve">; HOF and detonation-pressure quantile errors are bowl-shaped, optimal near</w:t>
      </w:r>
      <w:r>
        <w:t xml:space="preserve"> </w:t>
      </w:r>
      <m:oMath>
        <m:r>
          <m:t>w</m:t>
        </m:r>
        <m:r>
          <m:rPr>
            <m:sty m:val="p"/>
          </m:rPr>
          <m:t>∈</m:t>
        </m:r>
        <m:r>
          <m:rPr>
            <m:sty m:val="p"/>
          </m:rPr>
          <m:t>[</m:t>
        </m:r>
        <m:r>
          <m:t>5</m:t>
        </m:r>
        <m:r>
          <m:rPr>
            <m:sty m:val="p"/>
          </m:rPr>
          <m:t>,</m:t>
        </m:r>
        <m:r>
          <m:t>7</m:t>
        </m:r>
        <m:r>
          <m:rPr>
            <m:sty m:val="p"/>
          </m:rPr>
          <m:t>]</m:t>
        </m:r>
      </m:oMath>
      <w: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density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+1.83)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heat_of_formation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+267.75)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detonation_velocity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q90 (target +7.86)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detonation_pressure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q90 (target +26.57)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26</w:t>
            </w:r>
          </w:p>
        </w:tc>
      </w:tr>
    </w:tbl>
    <w:bookmarkEnd w:id="22"/>
    <w:bookmarkStart w:id="23" w:name="Xacf7f0073d817eb36c4a5c31559a0717b95a1ff"/>
    <w:p>
      <w:pPr>
        <w:pStyle w:val="Heading4"/>
        <w:keepNext/>
        <w:keepLines/>
        <w:widowControl w:val="1"/>
      </w:pPr>
      <w:r>
        <w:t xml:space="preserve">D.9 Hard-negative viability-head augmentation ablation</w:t>
      </w:r>
    </w:p>
    <w:p>
      <w:pPr>
        <w:pStyle w:val="FirstParagraph"/>
        <w:jc w:val="both"/>
        <w:keepNext w:val="0"/>
        <w:keepLines w:val="0"/>
        <w:widowControl w:val="1"/>
      </w:pPr>
      <w:r>
        <w:t xml:space="preserve">We trained two variants of the multi-head model on identical noised-latent inputs to compare hard-negative-augmentation budgets:</w:t>
      </w:r>
    </w:p>
    <w:p>
      <w:pPr>
        <w:pStyle w:val="Compact"/>
        <w:numPr>
          <w:ilvl w:val="0"/>
          <w:numId w:val="1002"/>
        </w:numPr>
        <w:jc w:val="both"/>
        <w:keepNext w:val="0"/>
        <w:keepLines w:val="0"/>
        <w:widowControl w:val="1"/>
      </w:pPr>
      <w:r>
        <w:rPr>
          <w:b/>
          <w:bCs/>
        </w:rPr>
        <w:t xml:space="preserve">Budget-137</w:t>
      </w:r>
      <w:r>
        <w:t xml:space="preserve">: training labels =</w:t>
      </w:r>
      <w: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t xml:space="preserve"> </w:t>
      </w:r>
      <w:r>
        <w:t xml:space="preserve">on the labelled corpus + 137 mined hard negatives encoded as viab=0.</w:t>
      </w:r>
    </w:p>
    <w:p>
      <w:pPr>
        <w:pStyle w:val="Compact"/>
        <w:numPr>
          <w:ilvl w:val="0"/>
          <w:numId w:val="1002"/>
        </w:numPr>
        <w:jc w:val="both"/>
        <w:keepNext w:val="0"/>
        <w:keepLines w:val="0"/>
        <w:widowControl w:val="1"/>
      </w:pPr>
      <w:r>
        <w:rPr>
          <w:b/>
          <w:bCs/>
        </w:rPr>
        <w:t xml:space="preserve">Budget-918 (production)</w:t>
      </w:r>
      <w:r>
        <w:t xml:space="preserve">: same recipe with 918 mined hard negatives (mined from all generation pools) and an additional aromatic-heterocycle boost</w:t>
      </w:r>
      <w:r>
        <w:t xml:space="preserve"> </w:t>
      </w:r>
      <m:oMath>
        <m:r>
          <m:rPr>
            <m:sty m:val="p"/>
          </m:rPr>
          <m:t>×</m:t>
        </m:r>
        <m:r>
          <m:t>1.20</m:t>
        </m:r>
      </m:oMath>
      <w:r>
        <w:t xml:space="preserve"> </w:t>
      </w:r>
      <w:r>
        <w:t xml:space="preserve">on the viability target.</w:t>
      </w:r>
    </w:p>
    <w:p>
      <w:pPr>
        <w:pStyle w:val="FirstParagraph"/>
        <w:jc w:val="both"/>
        <w:keepNext w:val="0"/>
        <w:keepLines w:val="0"/>
        <w:widowControl w:val="1"/>
      </w:pPr>
      <w:r>
        <w:t xml:space="preserve">On a held-out probe of seven anchor energetics (RDX, HMX, TNT, FOX-7, PETN, TATB) and five known model-cheats (gem-tetranitro on C2; trinitromethane; gem-dinitro-cyclopropane; polyazene-NO</w:t>
      </w:r>
      <w:r>
        <w:rPr>
          <w:vertAlign w:val="subscript"/>
        </w:rPr>
        <w:t xml:space="preserve">2</w:t>
      </w:r>
      <w:r>
        <w:t xml:space="preserve"> </w:t>
      </w:r>
      <w:r>
        <w:t xml:space="preserve">chain; tiny dinitromethane), the budget-137 model gave anchors viability</w:t>
      </w:r>
      <w:r>
        <w:t xml:space="preserve"> </w:t>
      </w:r>
      <m:oMath>
        <m:r>
          <m:rPr>
            <m:sty m:val="p"/>
          </m:rPr>
          <m:t>∈</m:t>
        </m:r>
      </m:oMath>
      <w:r>
        <w:t xml:space="preserve"> </w:t>
      </w:r>
      <w:r>
        <w:t xml:space="preserve">[0.93, 0.99] and cheats</w:t>
      </w:r>
      <w:r>
        <w:t xml:space="preserve"> </w:t>
      </w:r>
      <m:oMath>
        <m:r>
          <m:rPr>
            <m:sty m:val="p"/>
          </m:rPr>
          <m:t>∈</m:t>
        </m:r>
      </m:oMath>
      <w:r>
        <w:t xml:space="preserve"> </w:t>
      </w:r>
      <w:r>
        <w:t xml:space="preserve">[0.20, 0.84], while the budget-918 checkpoint gave anchors</w:t>
      </w:r>
      <w:r>
        <w:t xml:space="preserve"> </w:t>
      </w:r>
      <m:oMath>
        <m:r>
          <m:rPr>
            <m:sty m:val="p"/>
          </m:rPr>
          <m:t>∈</m:t>
        </m:r>
      </m:oMath>
      <w:r>
        <w:t xml:space="preserve"> </w:t>
      </w:r>
      <w:r>
        <w:t xml:space="preserve">[0.86, 0.99] and cheats</w:t>
      </w:r>
      <w:r>
        <w:t xml:space="preserve"> </w:t>
      </w:r>
      <m:oMath>
        <m:r>
          <m:rPr>
            <m:sty m:val="p"/>
          </m:rPr>
          <m:t>∈</m:t>
        </m:r>
      </m:oMath>
      <w:r>
        <w:t xml:space="preserve"> </w:t>
      </w:r>
      <w:r>
        <w:t xml:space="preserve">[0.12, 0.84]. Both discriminate, but the budget-918 checkpoint demoted the worst-offender model-cheat (gem-tetranitro) by an additional 0.10 absolute. The lesson is that the score-model viability head's discriminative power scales directly with the number of</w:t>
      </w:r>
      <w:r>
        <w:t xml:space="preserve"> </w:t>
      </w:r>
      <w:r>
        <w:rPr>
          <w:i/>
          <w:iCs/>
        </w:rPr>
        <w:t xml:space="preserve">structurally diverse</w:t>
      </w:r>
      <w:r>
        <w:t xml:space="preserve"> </w:t>
      </w:r>
      <w:r>
        <w:t xml:space="preserve">hard negatives encoded as training latents; the standard ZINC drug-like negatives we used to train the SMILES-space classifier are not enough; they are too far from the encoder's posterior to teach a useful gradient.</w:t>
      </w:r>
    </w:p>
    <w:bookmarkEnd w:id="23"/>
    <w:bookmarkStart w:id="30" w:name="d.10-reproducibility-across-pool-sizes"/>
    <w:p>
      <w:pPr>
        <w:pStyle w:val="Heading4"/>
        <w:keepNext/>
        <w:keepLines/>
        <w:widowControl w:val="1"/>
      </w:pPr>
      <w:r>
        <w:t xml:space="preserve">D.10 Reproducibility across pool sizes</w:t>
      </w:r>
    </w:p>
    <w:p>
      <w:pPr>
        <w:pStyle w:val="FirstParagraph"/>
        <w:jc w:val="both"/>
        <w:keepNext w:val="0"/>
        <w:keepLines w:val="0"/>
        <w:widowControl w:val="1"/>
      </w:pPr>
      <w: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t xml:space="preserve"> </w:t>
      </w:r>
      <w:r>
        <w:t xml:space="preserve">km/s) that does not re-emerge at the larger sample size. The per-head guidance scale tunes the</w:t>
      </w:r>
      <w:r>
        <w:t xml:space="preserve"> </w:t>
      </w:r>
      <w:r>
        <w:rPr>
          <w:i/>
          <w:iCs/>
        </w:rPr>
        <w:t xml:space="preserve">distribution</w:t>
      </w:r>
      <w:r>
        <w:t xml:space="preserve"> </w:t>
      </w:r>
      <w: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t xml:space="preserve"> </w:t>
      </w:r>
      <m:oMath>
        <m:r>
          <m:rPr>
            <m:sty m:val="p"/>
          </m:rPr>
          <m:t>≥</m:t>
        </m:r>
      </m:oMath>
      <w:r>
        <w:t xml:space="preserve"> </w:t>
      </w:r>
      <w: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5" name="Picture"/>
            <a:graphic>
              <a:graphicData uri="http://schemas.openxmlformats.org/drawingml/2006/picture">
                <pic:pic>
                  <pic:nvPicPr>
                    <pic:cNvPr descr="figs/fig5_score_dist.png" id="26" name="Picture"/>
                    <pic:cNvPicPr>
                      <a:picLocks noChangeArrowheads="1" noChangeAspect="1"/>
                    </pic:cNvPicPr>
                  </pic:nvPicPr>
                  <pic:blipFill>
                    <a:blip r:embed="rId24"/>
                    <a:stretch>
                      <a:fillRect/>
                    </a:stretch>
                  </pic:blipFill>
                  <pic:spPr bwMode="auto">
                    <a:xfrm>
                      <a:off x="0" y="0"/>
                      <a:ext cx="5943600" cy="314688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18.</w:t>
      </w:r>
      <w:r>
        <w:t xml:space="preserve"> </w:t>
      </w:r>
      <w:r>
        <w:t xml:space="preserve">Distribution of composite scores over the top-200 of an unguided pool=40 000 run after the Pareto scaffold-aware ranker (range [0.564, 0.831]).</w:t>
      </w:r>
    </w:p>
    <w:p>
      <w:pPr>
        <w:pStyle w:val="BodyText"/>
        <w:jc w:val="both"/>
        <w:keepNext w:val="0"/>
        <w:keepLines w:val="0"/>
        <w:widowControl w:val="1"/>
      </w:pPr>
      <w:r>
        <w:rPr>
          <w:b/>
          <w:bCs/>
        </w:rPr>
        <w:t xml:space="preserve">Pool-fusion provenance of the merged top-100.</w:t>
      </w:r>
      <w:r>
        <w:t xml:space="preserve"> </w:t>
      </w:r>
      <w:r>
        <w:t xml:space="preserve">Applying the §4.11 pool-fusion recipe to (i) the unguided pool=40 000 run, (ii) the unguided pool=80 000 run, (iii) a guided pool=40 000 run at</w:t>
      </w:r>
      <w: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t xml:space="preserve">, and (iv) a guided pool=20 000 run at</w:t>
      </w:r>
      <w:r>
        <w:t xml:space="preserve"> </w:t>
      </w:r>
      <m:oMath>
        <m:sSub>
          <m:e>
            <m:r>
              <m:t>s</m:t>
            </m:r>
          </m:e>
          <m:sub>
            <m:r>
              <m:rPr>
                <m:nor/>
                <m:sty m:val="p"/>
              </m:rPr>
              <m:t>SA</m:t>
            </m:r>
          </m:sub>
        </m:sSub>
        <m:r>
          <m:t>​</m:t>
        </m:r>
        <m:r>
          <m:rPr>
            <m:sty m:val="p"/>
          </m:rPr>
          <m:t>=</m:t>
        </m:r>
        <m:r>
          <m:t>​</m:t>
        </m:r>
        <m:r>
          <m:t>0.15</m:t>
        </m:r>
      </m:oMath>
      <w:r>
        <w:t xml:space="preserve"> </w:t>
      </w:r>
      <w: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8" name="Picture"/>
            <a:graphic>
              <a:graphicData uri="http://schemas.openxmlformats.org/drawingml/2006/picture">
                <pic:pic>
                  <pic:nvPicPr>
                    <pic:cNvPr descr="figs/fig9_merged_provenance.png" id="29" name="Picture"/>
                    <pic:cNvPicPr>
                      <a:picLocks noChangeArrowheads="1" noChangeAspect="1"/>
                    </pic:cNvPicPr>
                  </pic:nvPicPr>
                  <pic:blipFill>
                    <a:blip r:embed="rId27"/>
                    <a:stretch>
                      <a:fillRect/>
                    </a:stretch>
                  </pic:blipFill>
                  <pic:spPr bwMode="auto">
                    <a:xfrm>
                      <a:off x="0" y="0"/>
                      <a:ext cx="5943600" cy="283111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bCs/>
        </w:rPr>
        <w:t xml:space="preserve">Figure 26.</w:t>
      </w:r>
      <w:r>
        <w:t xml:space="preserve"> </w:t>
      </w:r>
      <w:r>
        <w:t xml:space="preserve">Source-pool contributions to the merged top-100. The unguided pool=40 000 supplies 89 of the top-100; classifier-guided runs and the larger unguided pool contribute incremental scaffold diversity at the top.</w:t>
      </w:r>
    </w:p>
    <w:bookmarkEnd w:id="30"/>
    <w:bookmarkStart w:id="31" w:name="d.11-distribution-learning-metrics"/>
    <w:p>
      <w:pPr>
        <w:pStyle w:val="Heading4"/>
        <w:keepNext/>
        <w:keepLines/>
        <w:widowControl w:val="1"/>
      </w:pPr>
      <w:r>
        <w:t xml:space="preserve">D.11 Distribution-learning metrics</w:t>
      </w:r>
    </w:p>
    <w:p>
      <w:pPr>
        <w:pStyle w:val="FirstParagraph"/>
        <w:jc w:val="both"/>
        <w:keepNext w:val="0"/>
        <w:keepLines w:val="0"/>
        <w:widowControl w:val="1"/>
      </w:pPr>
      <w:r>
        <w:t xml:space="preserve">To address standard distribution-learning benchmarks expected by NMI reviewers, we report MOSES-style metrics</w:t>
      </w:r>
      <w:r>
        <w:t xml:space="preserve"> </w:t>
      </w:r>
      <w:hyperlink w:anchor="ref-polykovskiy2020moses">
        <w:r>
          <w:rPr>
            <w:rStyle w:val="Hyperlink"/>
          </w:rPr>
          <w:t xml:space="preserve">[46]</w:t>
        </w:r>
      </w:hyperlink>
      <w:r>
        <w:t xml:space="preserve"> </w:t>
      </w:r>
      <w:r>
        <w:t xml:space="preserve">on the four guidance conditions of §F.3 at pool=10 000 each (10k SMILES per condition):</w:t>
      </w:r>
    </w:p>
    <w:p>
      <w:pPr>
        <w:pStyle w:val="BodyText"/>
        <w:jc w:val="both"/>
        <w:keepNext w:val="0"/>
        <w:keepLines w:val="0"/>
        <w:widowControl w:val="1"/>
      </w:pPr>
      <w:r>
        <w:rPr>
          <w:b/>
          <w:bCs/>
        </w:rPr>
        <w:t xml:space="preserve">Table D.4.</w:t>
      </w:r>
      <w:r>
        <w:t xml:space="preserve"> </w:t>
      </w:r>
      <w: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t xml:space="preserve">,</w:t>
      </w:r>
      <w:r>
        <w:t xml:space="preserve"> </w:t>
      </w:r>
      <m:oMath>
        <m:sSub>
          <m:e>
            <m:r>
              <m:t>s</m:t>
            </m:r>
          </m:e>
          <m:sub>
            <m:r>
              <m:rPr>
                <m:nor/>
                <m:sty m:val="p"/>
              </m:rPr>
              <m:t>sens</m:t>
            </m:r>
          </m:sub>
        </m:sSub>
        <m:r>
          <m:t>​</m:t>
        </m:r>
        <m:r>
          <m:rPr>
            <m:sty m:val="p"/>
          </m:rPr>
          <m:t>=</m:t>
        </m:r>
        <m:r>
          <m:t>​</m:t>
        </m:r>
        <m:r>
          <m:t>0.3</m:t>
        </m:r>
      </m:oMath>
      <w:r>
        <w:t xml:space="preserve">); C2 viab+sens+hazard (adds</w:t>
      </w:r>
      <w:r>
        <w:t xml:space="preserve"> </w:t>
      </w:r>
      <m:oMath>
        <m:sSub>
          <m:e>
            <m:r>
              <m:t>s</m:t>
            </m:r>
          </m:e>
          <m:sub>
            <m:r>
              <m:rPr>
                <m:nor/>
                <m:sty m:val="p"/>
              </m:rPr>
              <m:t>hazard</m:t>
            </m:r>
          </m:sub>
        </m:sSub>
        <m:r>
          <m:t>​</m:t>
        </m:r>
        <m:r>
          <m:rPr>
            <m:sty m:val="p"/>
          </m:rPr>
          <m:t>=</m:t>
        </m:r>
        <m:r>
          <m:t>​</m:t>
        </m:r>
        <m:r>
          <m:t>1.0</m:t>
        </m:r>
      </m:oMath>
      <w:r>
        <w:t xml:space="preserve">); C3 hazard-only (</w:t>
      </w:r>
      <m:oMath>
        <m:sSub>
          <m:e>
            <m:r>
              <m:t>s</m:t>
            </m:r>
          </m:e>
          <m:sub>
            <m:r>
              <m:rPr>
                <m:nor/>
                <m:sty m:val="p"/>
              </m:rPr>
              <m:t>hazard</m:t>
            </m:r>
          </m:sub>
        </m:sSub>
        <m:r>
          <m:t>​</m:t>
        </m:r>
        <m:r>
          <m:rPr>
            <m:sty m:val="p"/>
          </m:rPr>
          <m:t>=</m:t>
        </m:r>
        <m:r>
          <m:t>​</m:t>
        </m:r>
        <m:r>
          <m:t>2.0</m:t>
        </m:r>
      </m:oMath>
      <w:r>
        <w:t xml:space="preserve">, other heads off). Columns: RDKit validity rate; uniqueness fraction in the 10k pool; novelty against the labelled master corpus (LM, 65 980 rows); MOSES IntDiv1 internal-diversity score (1</w:t>
      </w:r>
      <w:r>
        <w:t xml:space="preserve"> </w:t>
      </w:r>
      <m:oMath>
        <m:r>
          <m:rPr>
            <m:sty m:val="p"/>
          </m:rPr>
          <m:t>−</m:t>
        </m:r>
      </m:oMath>
      <w:r>
        <w:t xml:space="preserve"> </w:t>
      </w:r>
      <w:r>
        <w:t xml:space="preserve">mean pairwise Tanimoto); count of unique Bemis–Murcko scaffolds in the 10k pool; pass rate against the PAINS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PAINS-pass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energetic-SMARTS-pass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0.728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0.861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0.328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0.259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0.572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71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0.292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hazard-only</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0.998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0.858</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165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0.260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0.306</w:t>
            </w:r>
          </w:p>
        </w:tc>
      </w:tr>
    </w:tbl>
    <w:p>
      <w:pPr>
        <w:pStyle w:val="BodyText"/>
        <w:spacing w:before="160"/>
        <w:jc w:val="both"/>
        <w:keepNext w:val="0"/>
        <w:keepLines w:val="0"/>
        <w:widowControl w:val="1"/>
      </w:pPr>
      <w:r>
        <w:t xml:space="preserve">The MOSES small-multiples figure (validity, scaffold uniqueness, internal diversity, FCD) has been promoted into §5.5 as Fig 24.</w:t>
      </w:r>
    </w:p>
    <w:p>
      <w:pPr>
        <w:pStyle w:val="BodyText"/>
        <w:jc w:val="both"/>
        <w:keepNext w:val="0"/>
        <w:keepLines w:val="0"/>
        <w:widowControl w:val="1"/>
      </w:pPr>
      <w:r>
        <w:rPr>
          <w:b/>
          <w:bCs/>
        </w:rPr>
        <w:t xml:space="preserve">Multi-seed validation (SA-axis sweep, 3 seeds each).</w:t>
      </w:r>
      <w:r>
        <w:t xml:space="preserve"> </w:t>
      </w:r>
      <w: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t xml:space="preserve"> 23 scaffolds s.d.) confirming that the guidance-driven narrowing of chemical space is a stable, signal-level effect rather than a seed artifact.</w:t>
      </w:r>
    </w:p>
    <w:p>
      <w:pPr>
        <w:pStyle w:val="BodyText"/>
        <w:jc w:val="both"/>
        <w:keepNext w:val="0"/>
        <w:keepLines w:val="0"/>
        <w:widowControl w:val="1"/>
      </w:pPr>
      <w:r>
        <w:rPr>
          <w:b/>
          <w:bCs/>
        </w:rPr>
        <w:t xml:space="preserve">Table D.4b.</w:t>
      </w:r>
      <w:r>
        <w:t xml:space="preserve"> </w:t>
      </w:r>
      <w:r>
        <w:t xml:space="preserve">Multi-seed MOSES-style metrics for the four SA-axis conditions (3 seeds each, 10 000 SMILES per seed). Validity is exactly 1.000 (zero variance) across all seeds and conditions. Values reported as mean </w:t>
      </w:r>
      <m:oMath>
        <m:r>
          <m:rPr>
            <m:sty m:val="p"/>
          </m:rPr>
          <m:t>±</m:t>
        </m:r>
      </m:oMath>
      <w:r>
        <w:t xml:space="preserve"> std. SA-axis conditions: C0 = unguided; C1 = viab-only (</w:t>
      </w:r>
      <m:oMath>
        <m:sSub>
          <m:e>
            <m:r>
              <m:t>s</m:t>
            </m:r>
          </m:e>
          <m:sub>
            <m:r>
              <m:rPr>
                <m:nor/>
                <m:sty m:val="p"/>
              </m:rPr>
              <m:t>viab</m:t>
            </m:r>
          </m:sub>
        </m:sSub>
        <m:r>
          <m:t>​</m:t>
        </m:r>
        <m:r>
          <m:rPr>
            <m:sty m:val="p"/>
          </m:rPr>
          <m:t>=</m:t>
        </m:r>
        <m:r>
          <m:t>​</m:t>
        </m:r>
        <m:r>
          <m:t>1.0</m:t>
        </m:r>
      </m:oMath>
      <w:r>
        <w:t xml:space="preserve">); C2 = viab+sens (</w:t>
      </w:r>
      <m:oMath>
        <m:r>
          <m:rPr>
            <m:sty m:val="p"/>
          </m:rPr>
          <m:t>+</m:t>
        </m:r>
        <m:sSub>
          <m:e>
            <m:r>
              <m:t>s</m:t>
            </m:r>
          </m:e>
          <m:sub>
            <m:r>
              <m:rPr>
                <m:nor/>
                <m:sty m:val="p"/>
              </m:rPr>
              <m:t>sens</m:t>
            </m:r>
          </m:sub>
        </m:sSub>
        <m:r>
          <m:t>​</m:t>
        </m:r>
        <m:r>
          <m:rPr>
            <m:sty m:val="p"/>
          </m:rPr>
          <m:t>=</m:t>
        </m:r>
        <m:r>
          <m:t>​</m:t>
        </m:r>
        <m:r>
          <m:t>0.3</m:t>
        </m:r>
      </m:oMath>
      <w:r>
        <w:t xml:space="preserve">); C3 = viab+sens+SA (</w:t>
      </w:r>
      <m:oMath>
        <m:r>
          <m:rPr>
            <m:sty m:val="p"/>
          </m:rPr>
          <m:t>+</m:t>
        </m:r>
        <m:sSub>
          <m:e>
            <m:r>
              <m:t>s</m:t>
            </m:r>
          </m:e>
          <m:sub>
            <m:r>
              <m:rPr>
                <m:nor/>
                <m:sty m:val="p"/>
              </m:rPr>
              <m:t>SA</m:t>
            </m:r>
          </m:sub>
        </m:sSub>
        <m:r>
          <m:t>​</m:t>
        </m:r>
        <m:r>
          <m:rPr>
            <m:sty m:val="p"/>
          </m:rPr>
          <m:t>=</m:t>
        </m:r>
        <m:r>
          <m:t>​</m:t>
        </m:r>
        <m:r>
          <m:t>0.15</m:t>
        </m:r>
      </m:oMath>
      <w: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validity</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uniqueness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 (vs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IntDiv1</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SNN to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BM scaffolds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C0 unguided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1262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C1 viab-only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0.830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C2 viab+sens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0.657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0.223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815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23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C3 viab+sens+SA (3 seeds)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0.617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0.210</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659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18</w:t>
            </w:r>
          </w:p>
        </w:tc>
      </w:tr>
    </w:tbl>
    <w:p>
      <w:pPr>
        <w:pStyle w:val="BodyText"/>
        <w:spacing w:before="160"/>
        <w:jc w:val="both"/>
        <w:keepNext w:val="0"/>
        <w:keepLines w:val="0"/>
        <w:widowControl w:val="1"/>
      </w:pPr>
      <w:r>
        <w:t xml:space="preserve">Five readings of this table (Table D.4):</w:t>
      </w:r>
    </w:p>
    <w:p>
      <w:pPr>
        <w:pStyle w:val="Compact"/>
        <w:numPr>
          <w:ilvl w:val="0"/>
          <w:numId w:val="1003"/>
        </w:numPr>
        <w:jc w:val="both"/>
        <w:keepNext w:val="0"/>
        <w:keepLines w:val="0"/>
        <w:widowControl w:val="1"/>
      </w:pPr>
      <w:r>
        <w:rPr>
          <w:b/>
          <w:bCs/>
        </w:rPr>
        <w:t xml:space="preserve">Validity is 100 %</w:t>
      </w:r>
      <w:r>
        <w:t xml:space="preserve"> </w:t>
      </w:r>
      <w:r>
        <w:t xml:space="preserve">for all conditions: the LIMO non-autoregressive parallel decoder, fine-tuned on the 326 k energetic corpus, produces RDKit-parseable SMILES at convergence regardless of the latent perturbation. Validity is measured by calling</w:t>
      </w:r>
      <w:r>
        <w:t xml:space="preserve"> </w:t>
      </w:r>
      <w:r>
        <w:rPr>
          <w:rStyle w:val="VerbatimChar"/>
        </w:rPr>
        <w:t xml:space="preserve">RDKit.Chem.MolFromSmiles</w:t>
      </w:r>
      <w:r>
        <w:t xml:space="preserve"> </w:t>
      </w:r>
      <w:r>
        <w:t xml:space="preserve">on every decoder output; any output for which</w:t>
      </w:r>
      <w:r>
        <w:t xml:space="preserve"> </w:t>
      </w:r>
      <w:r>
        <w:rPr>
          <w:rStyle w:val="VerbatimChar"/>
        </w:rPr>
        <w:t xml:space="preserve">MolFromSmiles</w:t>
      </w:r>
      <w:r>
        <w:t xml:space="preserve"> </w:t>
      </w:r>
      <w:r>
        <w:t xml:space="preserve">returns</w:t>
      </w:r>
      <w:r>
        <w:t xml:space="preserve"> </w:t>
      </w:r>
      <w:r>
        <w:rPr>
          <w:rStyle w:val="VerbatimChar"/>
        </w:rPr>
        <w:t xml:space="preserve">None</w:t>
      </w:r>
      <w:r>
        <w:t xml:space="preserve"> </w:t>
      </w:r>
      <w: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Compact"/>
        <w:numPr>
          <w:ilvl w:val="0"/>
          <w:numId w:val="1003"/>
        </w:numPr>
        <w:jc w:val="both"/>
        <w:keepNext w:val="0"/>
        <w:keepLines w:val="0"/>
        <w:widowControl w:val="1"/>
      </w:pPr>
      <w:r>
        <w:rPr>
          <w:b/>
          <w:bCs/>
        </w:rPr>
        <w:t xml:space="preserve">Novelty vs the labelled master is &gt;99.8 %</w:t>
      </w:r>
      <w:r>
        <w:t xml:space="preserve"> </w:t>
      </w:r>
      <w: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Compact"/>
        <w:numPr>
          <w:ilvl w:val="0"/>
          <w:numId w:val="1003"/>
        </w:numPr>
        <w:jc w:val="both"/>
        <w:keepNext w:val="0"/>
        <w:keepLines w:val="0"/>
        <w:widowControl w:val="1"/>
      </w:pPr>
      <w:r>
        <w:rPr>
          <w:b/>
          <w:bCs/>
        </w:rPr>
        <w:t xml:space="preserve">Per-condition uniqueness varies substantially</w:t>
      </w:r>
      <w:r>
        <w:t xml:space="preserve">: 0.728 (unguided) to 0.572 (viab+sens+hazard). Stronger guidance focuses the candidate set, producing more repeated SMILES, an expected and interpretable side-effect of gradient steering.</w:t>
      </w:r>
    </w:p>
    <w:p>
      <w:pPr>
        <w:pStyle w:val="Compact"/>
        <w:numPr>
          <w:ilvl w:val="0"/>
          <w:numId w:val="1003"/>
        </w:numPr>
        <w:jc w:val="both"/>
        <w:keepNext w:val="0"/>
        <w:keepLines w:val="0"/>
        <w:widowControl w:val="1"/>
      </w:pPr>
      <w:r>
        <w:rPr>
          <w:b/>
          <w:bCs/>
        </w:rPr>
        <w:t xml:space="preserve">Bemis–Murcko scaffold count varies 2×</w:t>
      </w:r>
      <w:r>
        <w:t xml:space="preserve"> </w:t>
      </w:r>
      <w:r>
        <w:t xml:space="preserve">across conditions (62 to 165 from the same 10k samples). Hazard-only (C3) produces the most scaffold diversity (165), unguided (C0) is intermediate (125), and the combined viab+sens+hazard (C2) is the most focused (71). This is the cleanest</w:t>
      </w:r>
      <w:r>
        <w:t xml:space="preserve"> </w:t>
      </w:r>
      <w:r>
        <w:rPr>
          <w:i/>
          <w:iCs/>
        </w:rPr>
        <w:t xml:space="preserve">quantitative</w:t>
      </w:r>
      <w:r>
        <w:t xml:space="preserve"> </w:t>
      </w:r>
      <w:r>
        <w:t xml:space="preserve">demonstration that per-head guidance steers chemistry class, not just metric values.</w:t>
      </w:r>
    </w:p>
    <w:p>
      <w:pPr>
        <w:pStyle w:val="Compact"/>
        <w:numPr>
          <w:ilvl w:val="0"/>
          <w:numId w:val="1003"/>
        </w:numPr>
        <w:jc w:val="both"/>
        <w:keepNext w:val="0"/>
        <w:keepLines w:val="0"/>
        <w:widowControl w:val="1"/>
      </w:pPr>
      <w:r>
        <w:rPr>
          <w:b/>
          <w:bCs/>
        </w:rPr>
        <w:t xml:space="preserve">PAINS pass rate is 77–86 %</w:t>
      </w:r>
      <w: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FirstParagraph"/>
        <w:jc w:val="both"/>
        <w:keepNext w:val="0"/>
        <w:keepLines w:val="0"/>
        <w:widowControl w:val="1"/>
      </w:pPr>
      <w:r>
        <w:rPr>
          <w:b/>
          <w:bCs/>
        </w:rPr>
        <w:t xml:space="preserve">Fréchet ChemNet Distance (FCD).</w:t>
      </w:r>
      <w:r>
        <w:t xml:space="preserve"> </w:t>
      </w:r>
      <w:r>
        <w:t xml:space="preserve">We additionally compute FCD</w:t>
      </w:r>
      <w:r>
        <w:t xml:space="preserve"> </w:t>
      </w:r>
      <w:hyperlink w:anchor="ref-preuer2018fcd">
        <w:r>
          <w:rPr>
            <w:rStyle w:val="Hyperlink"/>
          </w:rPr>
          <w:t xml:space="preserve">[47]</w:t>
        </w:r>
      </w:hyperlink>
      <w:r>
        <w:t xml:space="preserve"> </w:t>
      </w:r>
      <w: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BodyText"/>
        <w:jc w:val="both"/>
        <w:keepNext w:val="0"/>
        <w:keepLines w:val="0"/>
        <w:widowControl w:val="1"/>
      </w:pPr>
      <w:r>
        <w:rPr>
          <w:b/>
          <w:bCs/>
        </w:rPr>
        <w:t xml:space="preserve">Table D.5.</w:t>
      </w:r>
      <w:r>
        <w:t xml:space="preserve"> </w:t>
      </w:r>
      <w:r>
        <w:t xml:space="preserve">Fréchet ChemNet Distance (FCD) of each method/condition's 10 000-SMILES output against a 5 000-row sample of the labelled master corpus, mean </w:t>
      </w:r>
      <m:oMath>
        <m:r>
          <m:rPr>
            <m:sty m:val="p"/>
          </m:rPr>
          <m:t>±</m:t>
        </m:r>
      </m:oMath>
      <w: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SMILES-LSTM</w:t>
            </w:r>
            <w:r>
              <w:rPr>
                <w:rFonts w:ascii="Times New Roman" w:hAnsi="Times New Roman"/>
                <w:sz w:val="20"/>
              </w:rPr>
              <w:t xml:space="preserve"> </w:t>
            </w:r>
            <w:r>
              <w:rPr>
                <w:rFonts w:ascii="Times New Roman" w:hAnsi="Times New Roman"/>
                <w:sz w:val="20"/>
              </w:rPr>
              <w:t xml:space="preserve">(no diffusion, 3 seeds, mean)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C3 hazard-only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24.04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C0 unguided (6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24.99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viab+sens+hazard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25.11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 (SA-axis,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C1 viab+sens (hazard-axis,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25.86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C2 viab+sens (SA-axis, 3 seeds)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DGLD C3 viab+sens+SA (SA-axis, 3 seeds)</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26.47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0.06</w:t>
            </w:r>
          </w:p>
        </w:tc>
      </w:tr>
    </w:tbl>
    <w:p>
      <w:pPr>
        <w:pStyle w:val="BodyText"/>
        <w:spacing w:before="160"/>
        <w:jc w:val="both"/>
        <w:keepNext w:val="0"/>
        <w:keepLines w:val="0"/>
        <w:widowControl w:val="1"/>
      </w:pPr>
      <w:r>
        <w:t xml:space="preserve">The result is methodologically informative and self-consistent with the §F.4 Pareto-reranker composite ranking: the SMILES-LSTM no-diffusion baseline produces chemistry that is distributionally</w:t>
      </w:r>
      <w:r>
        <w:t xml:space="preserve"> </w:t>
      </w:r>
      <w:r>
        <w:rPr>
          <w:i/>
          <w:iCs/>
        </w:rPr>
        <w:t xml:space="preserve">indistinguishable</w:t>
      </w:r>
      <w:r>
        <w:t xml:space="preserve"> </w:t>
      </w:r>
      <w:r>
        <w:t xml:space="preserve">from the labelled master (FCD = 0.52, the floor for a generic energetic-flavoured SMILES generator trained on the same corpus), but its top-1 Pareto-reranker composite is 0.083 (§F.4); a generative model that mimics the training distribution well by FCD does</w:t>
      </w:r>
      <w:r>
        <w:t xml:space="preserve"> </w:t>
      </w:r>
      <w:r>
        <w:rPr>
          <w:i/>
          <w:iCs/>
        </w:rPr>
        <w:t xml:space="preserve">not</w:t>
      </w:r>
      <w:r>
        <w:t xml:space="preserve"> </w:t>
      </w:r>
      <w: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t xml:space="preserve"> </w:t>
      </w:r>
      <w:r>
        <w:rPr>
          <w:b/>
          <w:bCs/>
        </w:rPr>
        <w:t xml:space="preserve">FCD and Pareto-reranker composite are anti-correlated across DGLD conditions:</w:t>
      </w:r>
      <w:r>
        <w:t xml:space="preserve"> </w:t>
      </w:r>
      <w: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1"/>
    <w:bookmarkStart w:id="32" w:name="d.12-hazard-head-post-hoc-filtering"/>
    <w:p>
      <w:pPr>
        <w:pStyle w:val="Heading4"/>
        <w:keepNext/>
        <w:keepLines/>
        <w:widowControl w:val="1"/>
      </w:pPr>
      <w:r>
        <w:t xml:space="preserve">D.12 Hazard-head post-hoc filtering</w:t>
      </w:r>
    </w:p>
    <w:p>
      <w:pPr>
        <w:pStyle w:val="FirstParagraph"/>
        <w:jc w:val="both"/>
        <w:keepNext w:val="0"/>
        <w:keepLines w:val="0"/>
        <w:widowControl w:val="1"/>
      </w:pPr>
      <w:r>
        <w:t xml:space="preserve">Applying the §4.7 hazard-head-as-rerank-weight to the merged top-100, scored against the chemist-curated SMARTS catalog, gives the following alignment:</w:t>
      </w:r>
    </w:p>
    <w:p>
      <w:pPr>
        <w:pStyle w:val="BodyText"/>
        <w:jc w:val="both"/>
        <w:keepNext w:val="0"/>
        <w:keepLines w:val="0"/>
        <w:widowControl w:val="1"/>
      </w:pPr>
      <w:r>
        <w:rPr>
          <w:b/>
          <w:bCs/>
        </w:rPr>
        <w:t xml:space="preserve">Table D.6.</w:t>
      </w:r>
      <w:r>
        <w:t xml:space="preserve"> </w:t>
      </w:r>
      <w: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energetic-SMARTS gate reject</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 / 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 head P &gt; 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89 / 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both reject (SMARTS ∩ 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23 / 23</w:t>
            </w:r>
            <w:r>
              <w:rPr>
                <w:rFonts w:ascii="Times New Roman" w:hAnsi="Times New Roman"/>
                <w:sz w:val="20"/>
              </w:rPr>
              <w:t xml:space="preserve"> </w:t>
            </w:r>
            <w:r>
              <w:rPr>
                <w:rFonts w:ascii="Times New Roman" w:hAnsi="Times New Roman"/>
                <w:sz w:val="20"/>
              </w:rPr>
              <w:t xml:space="preserve">(perfect recall)</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hazard-only flag (SMARTS missed but head flagged)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66 / 100</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both pass (SMARTS-ok ∩ hazard</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 / 100</w:t>
            </w:r>
          </w:p>
        </w:tc>
      </w:tr>
    </w:tbl>
    <w:p>
      <w:pPr>
        <w:pStyle w:val="BodyText"/>
        <w:spacing w:before="160"/>
        <w:jc w:val="both"/>
        <w:keepNext w:val="0"/>
        <w:keepLines w:val="0"/>
        <w:widowControl w:val="1"/>
      </w:pPr>
      <w:r>
        <w:t xml:space="preserve">The hazard head</w:t>
      </w:r>
      <w:r>
        <w:t xml:space="preserve"> </w:t>
      </w:r>
      <w:r>
        <w:rPr>
          <w:b/>
          <w:bCs/>
        </w:rPr>
        <w:t xml:space="preserve">recovers all 23 chemist-SMARTS rejects with perfect recall on the merged top-100</w:t>
      </w:r>
      <w:r>
        <w:t xml:space="preserve"> </w:t>
      </w:r>
      <w:r>
        <w:t xml:space="preserve">(the chemist-rejects were in the head's training-positive set, so this is partly by construction); a more honest generalisation estimate via 5-fold cross-validation across all 196 hazard-dataset rows gives</w:t>
      </w:r>
      <w:r>
        <w:t xml:space="preserve"> </w:t>
      </w:r>
      <w:r>
        <w:rPr>
          <w:b/>
          <w:bCs/>
        </w:rPr>
        <w:t xml:space="preserve">mean held-out AUROC = 0.91 ± 0.05</w:t>
      </w:r>
      <w: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t xml:space="preserve"> </w:t>
      </w:r>
      <m:oMath>
        <m:sSub>
          <m:e>
            <m:r>
              <m:t>P</m:t>
            </m:r>
          </m:e>
          <m:sub>
            <m:r>
              <m:rPr>
                <m:nor/>
                <m:sty m:val="p"/>
              </m:rPr>
              <m:t>hazard</m:t>
            </m:r>
          </m:sub>
        </m:sSub>
        <m:r>
          <m:rPr>
            <m:sty m:val="p"/>
          </m:rPr>
          <m:t>=</m:t>
        </m:r>
        <m:r>
          <m:t>0.98</m:t>
        </m:r>
      </m:oMath>
      <w:r>
        <w:t xml:space="preserve"> </w:t>
      </w:r>
      <w:r>
        <w:t xml:space="preserve">despite being a published HEDM, suggesting the head learned a broader "high N-density nitramine" feature). The hazard head is therefore used as a</w:t>
      </w:r>
      <w:r>
        <w:t xml:space="preserve"> </w:t>
      </w:r>
      <w:r>
        <w:rPr>
          <w:i/>
          <w:iCs/>
        </w:rPr>
        <w:t xml:space="preserve">soft re-rank weight</w:t>
      </w:r>
      <w:r>
        <w:t xml:space="preserve">, not a hard reject. Threshold</w:t>
      </w:r>
      <w:r>
        <w:t xml:space="preserve"> </w:t>
      </w:r>
      <m:oMath>
        <m:sSub>
          <m:e>
            <m:r>
              <m:t>P</m:t>
            </m:r>
          </m:e>
          <m:sub>
            <m:r>
              <m:rPr>
                <m:nor/>
                <m:sty m:val="p"/>
              </m:rPr>
              <m:t>hazard</m:t>
            </m:r>
          </m:sub>
        </m:sSub>
        <m:r>
          <m:rPr>
            <m:sty m:val="p"/>
          </m:rPr>
          <m:t>&gt;</m:t>
        </m:r>
        <m:r>
          <m:t>0.9</m:t>
        </m:r>
      </m:oMath>
      <w:r>
        <w:t xml:space="preserve"> </w:t>
      </w:r>
      <w:r>
        <w:t xml:space="preserve">reduces the flag count to a more reasonable</w:t>
      </w:r>
      <w:r>
        <w:t xml:space="preserve"> </w:t>
      </w:r>
      <m:oMath>
        <m:r>
          <m:rPr>
            <m:sty m:val="p"/>
          </m:rPr>
          <m:t>∼</m:t>
        </m:r>
      </m:oMath>
      <w:r>
        <w:t xml:space="preserve">50/100; threshold</w:t>
      </w:r>
      <w:r>
        <w:t xml:space="preserve"> </w:t>
      </w:r>
      <m:oMath>
        <m:sSub>
          <m:e>
            <m:r>
              <m:t>P</m:t>
            </m:r>
          </m:e>
          <m:sub>
            <m:r>
              <m:rPr>
                <m:nor/>
                <m:sty m:val="p"/>
              </m:rPr>
              <m:t>hazard</m:t>
            </m:r>
          </m:sub>
        </m:sSub>
        <m:r>
          <m:rPr>
            <m:sty m:val="p"/>
          </m:rPr>
          <m:t>&gt;</m:t>
        </m:r>
        <m:r>
          <m:t>0.5</m:t>
        </m:r>
      </m:oMath>
      <w:r>
        <w:t xml:space="preserve"> </w:t>
      </w:r>
      <w:r>
        <w:t xml:space="preserve">over-rejects.</w:t>
      </w:r>
    </w:p>
    <w:p>
      <w:pPr>
        <w:pStyle w:val="BodyText"/>
        <w:jc w:val="both"/>
        <w:keepNext w:val="0"/>
        <w:keepLines w:val="0"/>
        <w:widowControl w:val="1"/>
      </w:pPr>
      <w:r>
        <w:rPr>
          <w:b/>
          <w:bCs/>
        </w:rPr>
        <w:t xml:space="preserve">Why this matters for the methodology.</w:t>
      </w:r>
      <w:r>
        <w:t xml:space="preserve"> </w:t>
      </w:r>
      <w:r>
        <w:t xml:space="preserve">The chemist SMARTS catalog and the hazard head are complementary in a useful way: the SMARTS catalog encodes</w:t>
      </w:r>
      <w:r>
        <w:t xml:space="preserve"> </w:t>
      </w:r>
      <w:r>
        <w:rPr>
          <w:i/>
          <w:iCs/>
        </w:rPr>
        <w:t xml:space="preserve">known motif-level hazards</w:t>
      </w:r>
      <w:r>
        <w:t xml:space="preserve"> </w:t>
      </w:r>
      <w:r>
        <w:t xml:space="preserve">(a hard interpretable rule), while the hazard head encodes</w:t>
      </w:r>
      <w:r>
        <w:t xml:space="preserve"> </w:t>
      </w:r>
      <w:r>
        <w:rPr>
          <w:i/>
          <w:iCs/>
        </w:rPr>
        <w:t xml:space="preserve">latent-space proximity to hazardous chemistry</w:t>
      </w:r>
      <w:r>
        <w:t xml:space="preserve"> </w:t>
      </w:r>
      <w:r>
        <w:t xml:space="preserve">(a soft generalisation that can flag motifs the rule writer didn't anticipate).</w:t>
      </w:r>
    </w:p>
    <w:bookmarkEnd w:id="32"/>
    <w:bookmarkStart w:id="33" w:name="d.13-e2-filter-scope-note"/>
    <w:p>
      <w:pPr>
        <w:pStyle w:val="Heading4"/>
        <w:keepNext/>
        <w:keepLines/>
        <w:widowControl w:val="1"/>
      </w:pPr>
      <w:r>
        <w:t xml:space="preserve">D.13 E2 filter-scope note</w:t>
      </w:r>
    </w:p>
    <w:p>
      <w:pPr>
        <w:pStyle w:val="FirstParagraph"/>
        <w:jc w:val="both"/>
        <w:keepNext w:val="0"/>
        <w:keepLines w:val="0"/>
        <w:widowControl w:val="1"/>
      </w:pPr>
      <w:r>
        <w:t xml:space="preserve">E2 (gem-dinitro nitramine,</w:t>
      </w:r>
      <w:r>
        <w:t xml:space="preserve"> </w:t>
      </w:r>
      <w:r>
        <w:rPr>
          <w:rStyle w:val="VerbatimChar"/>
        </w:rPr>
        <w:t xml:space="preserve">O=[N+]([O-])NC([N+](=O)[O-])[N+](=O)[O-]</w:t>
      </w:r>
      <w:r>
        <w:t xml:space="preserve">, CH</w:t>
      </w:r>
      <w:r>
        <w:rPr>
          <w:vertAlign w:val="subscript"/>
        </w:rPr>
        <w:t xml:space="preserve">2</w:t>
      </w:r>
      <w:r>
        <w:t xml:space="preserve">N</w:t>
      </w:r>
      <w:r>
        <w:rPr>
          <w:vertAlign w:val="subscript"/>
        </w:rPr>
        <w:t xml:space="preserve">4</w:t>
      </w:r>
      <w:r>
        <w:t xml:space="preserve">O</w:t>
      </w:r>
      <w:r>
        <w:rPr>
          <w:vertAlign w:val="subscript"/>
        </w:rPr>
        <w:t xml:space="preserve">6</w:t>
      </w:r>
      <w:r>
        <w:t xml:space="preserve">) carries 3 nitro groups on a 1-carbon skeleton and should be rejected by the §4.10 hard rule "≥3 nitro groups on a 1- or 2-carbon skeleton". The production reranker filter</w:t>
      </w:r>
      <w:r>
        <w:t xml:space="preserve"> </w:t>
      </w:r>
      <w:r>
        <w:rPr>
          <w:rStyle w:val="VerbatimChar"/>
        </w:rPr>
        <w:t xml:space="preserve">chem_redflags.screen()</w:t>
      </w:r>
      <w:r>
        <w:t xml:space="preserve"> </w:t>
      </w:r>
      <w:r>
        <w:t xml:space="preserve">does reject E2 via its</w:t>
      </w:r>
      <w:r>
        <w:t xml:space="preserve"> </w:t>
      </w:r>
      <w:r>
        <w:rPr>
          <w:rStyle w:val="VerbatimChar"/>
        </w:rPr>
        <w:t xml:space="preserve">nC≤2 and n_NO2≥3</w:t>
      </w:r>
      <w:r>
        <w:t xml:space="preserve"> </w:t>
      </w:r>
      <w:r>
        <w:t xml:space="preserve">rule (nC=1, nNO2=3); the lighter</w:t>
      </w:r>
      <w:r>
        <w:t xml:space="preserve"> </w:t>
      </w:r>
      <w:r>
        <w:rPr>
          <w:rStyle w:val="VerbatimChar"/>
        </w:rPr>
        <w:t xml:space="preserve">chem_filter.chem_filter_batch()</w:t>
      </w:r>
      <w:r>
        <w:t xml:space="preserve"> </w:t>
      </w:r>
      <w: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3"/>
    <w:bookmarkStart w:id="34" w:name="d.14-aizynthfinder-route-detail-for-l1"/>
    <w:p>
      <w:pPr>
        <w:pStyle w:val="Heading4"/>
        <w:keepNext/>
        <w:keepLines/>
        <w:widowControl w:val="1"/>
      </w:pPr>
      <w:r>
        <w:t xml:space="preserve">D.14 AiZynthFinder route detail for L1</w:t>
      </w:r>
    </w:p>
    <w:p>
      <w:pPr>
        <w:pStyle w:val="FirstParagraph"/>
        <w:jc w:val="both"/>
        <w:keepNext w:val="0"/>
        <w:keepLines w:val="0"/>
        <w:widowControl w:val="1"/>
      </w:pPr>
      <w: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BodyText"/>
        <w:jc w:val="both"/>
        <w:keepNext w:val="0"/>
        <w:keepLines w:val="0"/>
        <w:widowControl w:val="1"/>
      </w:pPr>
      <w:r>
        <w:rPr>
          <w:b/>
          <w:bCs/>
        </w:rPr>
        <w:t xml:space="preserve">L1 disconnection sequence.</w:t>
      </w:r>
      <w:r>
        <w:t xml:space="preserve"> </w:t>
      </w:r>
      <w:r>
        <w:t xml:space="preserve">Reading</w:t>
      </w:r>
      <w:r>
        <w:t xml:space="preserve"> </w:t>
      </w:r>
      <w:r>
        <w:rPr>
          <w:rStyle w:val="VerbatimChar"/>
        </w:rPr>
        <w:t xml:space="preserve">aizynth_results.json</w:t>
      </w:r>
      <w:r>
        <w:t xml:space="preserve"> </w:t>
      </w:r>
      <w:r>
        <w:t xml:space="preserve">outside-in: the terminal disconnection at the L1 target is a one-step electrophilic ring-nitration of 4,5-dinitro-1,2-isoxazole with HNO</w:t>
      </w:r>
      <w:r>
        <w:rPr>
          <w:vertAlign w:val="subscript"/>
        </w:rPr>
        <w:t xml:space="preserve">3</w:t>
      </w:r>
      <w:r>
        <w:t xml:space="preserve"> </w:t>
      </w:r>
      <w:r>
        <w:t xml:space="preserve">(USPTO template hash</w:t>
      </w:r>
      <w:r>
        <w:t xml:space="preserve"> </w:t>
      </w:r>
      <w:r>
        <w:rPr>
          <w:rStyle w:val="VerbatimChar"/>
        </w:rPr>
        <w:t xml:space="preserve">acb27933</w:t>
      </w:r>
      <w:r>
        <w:t xml:space="preserve">, policy probability 0.156, rank 0). Caveat: 4,5-dinitro-1,2-isoxazole is strongly electron-deficient and a third C-nitration under standard HNO</w:t>
      </w:r>
      <w:r>
        <w:rPr>
          <w:vertAlign w:val="subscript"/>
        </w:rPr>
        <w:t xml:space="preserve">3</w:t>
      </w:r>
      <w:r>
        <w:t xml:space="preserve"> </w:t>
      </w:r>
      <w:r>
        <w:t xml:space="preserve">alone is unlikely at this deactivation level; literature routes for trinitrated five-membered heterocycles use fuming HNO</w:t>
      </w:r>
      <w:r>
        <w:rPr>
          <w:vertAlign w:val="subscript"/>
        </w:rPr>
        <w:t xml:space="preserve">3</w:t>
      </w:r>
      <w:r>
        <w:t xml:space="preserve">/oleum or N</w:t>
      </w:r>
      <w:r>
        <w:rPr>
          <w:vertAlign w:val="subscript"/>
        </w:rPr>
        <w:t xml:space="preserve">2</w:t>
      </w:r>
      <w:r>
        <w:t xml:space="preserve">O</w:t>
      </w:r>
      <w:r>
        <w:rPr>
          <w:vertAlign w:val="subscript"/>
        </w:rPr>
        <w:t xml:space="preserve">5</w:t>
      </w:r>
      <w:r>
        <w:t xml:space="preserve"> </w:t>
      </w:r>
      <w:hyperlink w:anchor="ref-sabatini2018">
        <w:r>
          <w:rPr>
            <w:rStyle w:val="Hyperlink"/>
          </w:rPr>
          <w:t xml:space="preserve">[sabatini2018]</w:t>
        </w:r>
      </w:hyperlink>
      <w: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t xml:space="preserve"> </w:t>
      </w:r>
      <w:r>
        <w:rPr>
          <w:b/>
          <w:bCs/>
        </w:rPr>
        <w:t xml:space="preserve">Hazard note:</w:t>
      </w:r>
      <w:r>
        <w:t xml:space="preserve"> </w:t>
      </w:r>
      <w: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t xml:space="preserve"> </w:t>
      </w:r>
      <w:r>
        <w:t xml:space="preserve">−10 °C throughout the azide stage), in-situ trapping of the resulting isocyanate, and appropriate explosive-handling facilities.</w:t>
      </w:r>
    </w:p>
    <w:p>
      <w:pPr>
        <w:pStyle w:val="BodyText"/>
        <w:jc w:val="both"/>
        <w:keepNext w:val="0"/>
        <w:keepLines w:val="0"/>
        <w:widowControl w:val="1"/>
      </w:pPr>
      <w:r>
        <w:rPr>
          <w:b/>
          <w:bCs/>
        </w:rPr>
        <w:t xml:space="preserve">ZINC catalog gap.</w:t>
      </w:r>
      <w:r>
        <w:t xml:space="preserve"> </w:t>
      </w:r>
      <w:r>
        <w:t xml:space="preserve">Of the leaf precursors enumerated by AiZynth, only</w:t>
      </w:r>
      <w:r>
        <w:t xml:space="preserve"> </w:t>
      </w:r>
      <w:r>
        <w:rPr>
          <w:i/>
          <w:iCs/>
        </w:rPr>
        <w:t xml:space="preserve">tert</w:t>
      </w:r>
      <w:r>
        <w:t xml:space="preserve">-butanol and DPPA are flagged</w:t>
      </w:r>
      <w:r>
        <w:t xml:space="preserve"> </w:t>
      </w:r>
      <w:r>
        <w:rPr>
          <w:rStyle w:val="VerbatimChar"/>
        </w:rPr>
        <w:t xml:space="preserve">in_stock: true</w:t>
      </w:r>
      <w:r>
        <w:t xml:space="preserve"> </w:t>
      </w:r>
      <w:r>
        <w:t xml:space="preserve">against the ZINC catalog; the four energetic-domain intermediates (4,5-dinitro-1,2-isoxazole, its 3-amino derivative, the Boc-protected amine, and the 3-carboxylic acid) are all</w:t>
      </w:r>
      <w:r>
        <w:t xml:space="preserve"> </w:t>
      </w:r>
      <w:r>
        <w:rPr>
          <w:rStyle w:val="VerbatimChar"/>
        </w:rPr>
        <w:t xml:space="preserve">in_stock: false</w:t>
      </w:r>
      <w: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BodyText"/>
        <w:jc w:val="both"/>
        <w:keepNext w:val="0"/>
        <w:keepLines w:val="0"/>
        <w:widowControl w:val="1"/>
      </w:pPr>
      <w:r>
        <w:rPr>
          <w:b/>
          <w:bCs/>
        </w:rPr>
        <w:t xml:space="preserve">Negative results on L4, L5, and the nine extension leads.</w:t>
      </w:r>
      <w:r>
        <w:t xml:space="preserve"> </w:t>
      </w:r>
      <w: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vertAlign w:val="subscript"/>
        </w:rPr>
        <w:t xml:space="preserve">2</w:t>
      </w:r>
      <w:r>
        <w:t xml:space="preserve"> </w:t>
      </w:r>
      <w:r>
        <w:t xml:space="preserve">ring-closure or for the acyl-oxime-O-NO</w:t>
      </w:r>
      <w:r>
        <w:rPr>
          <w:vertAlign w:val="subscript"/>
        </w:rPr>
        <w:t xml:space="preserve">2</w:t>
      </w:r>
      <w:r>
        <w:t xml:space="preserve"> </w:t>
      </w:r>
      <w:r>
        <w:t xml:space="preserve">linkage. The negative result is not a search-budget artefact: a follow-up run at 5</w:t>
      </w:r>
      <m:oMath>
        <m:r>
          <m:rPr>
            <m:sty m:val="p"/>
          </m:rPr>
          <m:t>×</m:t>
        </m:r>
      </m:oMath>
      <w:r>
        <w:t xml:space="preserve"> </w:t>
      </w:r>
      <w: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vertAlign w:val="subscript"/>
        </w:rPr>
        <w:t xml:space="preserve">2</w:t>
      </w:r>
      <w:r>
        <w:t xml:space="preserve">O</w:t>
      </w:r>
      <w:r>
        <w:rPr>
          <w:vertAlign w:val="subscript"/>
        </w:rPr>
        <w:t xml:space="preserve">5</w:t>
      </w:r>
      <w:r>
        <w:t xml:space="preserve"> </w:t>
      </w:r>
      <w:r>
        <w:t xml:space="preserve">nitrolysis, KMnO</w:t>
      </w:r>
      <w:r>
        <w:rPr>
          <w:vertAlign w:val="subscript"/>
        </w:rPr>
        <w:t xml:space="preserve">4</w:t>
      </w:r>
      <w: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BodyText"/>
        <w:jc w:val="both"/>
        <w:keepNext w:val="0"/>
        <w:keepLines w:val="0"/>
        <w:widowControl w:val="1"/>
      </w:pPr>
      <w: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Pr>
        <w:t xml:space="preserve">aizynth_results_extension.json</w:t>
      </w:r>
      <w: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4"/>
    <w:bookmarkEnd w:id="35"/>
    <w:bookmarkStart w:id="36" w:name="sec-app-baseline-examples"/>
    <w:p>
      <w:pPr>
        <w:pStyle w:val="Heading3"/>
        <w:keepNext/>
        <w:keepLines/>
        <w:widowControl w:val="1"/>
      </w:pPr>
      <w:r>
        <w:t xml:space="preserve">E. Baseline-method example outputs</w:t>
      </w:r>
    </w:p>
    <w:p>
      <w:pPr>
        <w:pStyle w:val="FirstParagraph"/>
        <w:jc w:val="both"/>
        <w:keepNext w:val="0"/>
        <w:keepLines w:val="0"/>
        <w:widowControl w:val="1"/>
      </w:pPr>
      <w: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BodyText"/>
        <w:jc w:val="both"/>
        <w:keepNext w:val="0"/>
        <w:keepLines w:val="0"/>
        <w:widowControl w:val="1"/>
      </w:pPr>
      <w:r>
        <w:rPr>
          <w:b/>
          <w:bCs/>
        </w:rPr>
        <w:t xml:space="preserve">Table E.1.</w:t>
      </w:r>
      <w:r>
        <w:t xml:space="preserve"> </w:t>
      </w:r>
      <w: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CO[C@@H]1CCN(CC23CCC(N)(CC2)C3)C[C@@H]1C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252.22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0.823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N=c1cc[nH]cc1-c1nc(N)nc(N2C[C@H]3CN=C(N4CCCC4)[C@H]3C2)n1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w:t>
            </w:r>
            <w:r>
              <w:rPr>
                <w:rFonts w:ascii="Times New Roman" w:hAnsi="Times New Roman"/>
                <w:sz w:val="20"/>
                <w:vertAlign w:val="subscript"/>
              </w:rPr>
              <w:t xml:space="preserve">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365.21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CC(CN1C[C@H](CO)C2(CCC2)C1)=C1CCC1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25</w:t>
            </w:r>
            <w:r>
              <w:rPr>
                <w:rFonts w:ascii="Times New Roman" w:hAnsi="Times New Roman"/>
                <w:sz w:val="20"/>
              </w:rPr>
              <w:t xml:space="preserve">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235.19</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0.810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C[C@H]1OCCC2=Nc3[nH]c4c(c3CCC[C@@H]21)[C@](C)(O)C4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16</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274.17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CC(C)(C)CN1CC(C)(C)C[C@]2(C)C(=O)N3C(=N1)C(=O)NC[C@]3(C)[C@@H]2N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363.26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CC(C)CN1CCN(c2nnc(-c3cncnc3)n2C[C@]2(C)CCCO2)CC1=O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20</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7</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399.24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N[C@]1(CC2COCCOC2)CO[C@H](C2CC2)C1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13</w:t>
            </w:r>
            <w:r>
              <w:rPr>
                <w:rFonts w:ascii="Times New Roman" w:hAnsi="Times New Roman"/>
                <w:sz w:val="20"/>
              </w:rPr>
              <w:t xml:space="preserve">H</w:t>
            </w:r>
            <w:r>
              <w:rPr>
                <w:rFonts w:ascii="Times New Roman" w:hAnsi="Times New Roman"/>
                <w:sz w:val="20"/>
                <w:vertAlign w:val="subscript"/>
              </w:rPr>
              <w:t xml:space="preserve">23</w:t>
            </w:r>
            <w:r>
              <w:rPr>
                <w:rFonts w:ascii="Times New Roman" w:hAnsi="Times New Roman"/>
                <w:sz w:val="20"/>
              </w:rPr>
              <w:t xml:space="preserve">NO</w:t>
            </w:r>
            <w:r>
              <w:rPr>
                <w:rFonts w:ascii="Times New Roman" w:hAnsi="Times New Roman"/>
                <w:sz w:val="20"/>
                <w:vertAlign w:val="sub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241.17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Cc1c(C(=O)N(C)C[C@@H]2CCN(C(=O)Cc3cnoc3)C2)ccn1C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344.18</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O=C(CCn1cnccc1=O)NC1(CNC[C@H]2CC[C@H]3C[C@H]3C2)CCCC1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21</w:t>
            </w:r>
            <w:r>
              <w:rPr>
                <w:rFonts w:ascii="Times New Roman" w:hAnsi="Times New Roman"/>
                <w:sz w:val="20"/>
              </w:rPr>
              <w:t xml:space="preserve">H</w:t>
            </w:r>
            <w:r>
              <w:rPr>
                <w:rFonts w:ascii="Times New Roman" w:hAnsi="Times New Roman"/>
                <w:sz w:val="20"/>
                <w:vertAlign w:val="subscript"/>
              </w:rPr>
              <w:t xml:space="preserve">32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372.25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CO[C@@H]1CCCCN(c2nnc([C@]3(C)CNC(=O)C3)n2CC2CC2)C1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18</w:t>
            </w:r>
            <w:r>
              <w:rPr>
                <w:rFonts w:ascii="Times New Roman" w:hAnsi="Times New Roman"/>
                <w:sz w:val="20"/>
              </w:rPr>
              <w:t xml:space="preserve">H</w:t>
            </w:r>
            <w:r>
              <w:rPr>
                <w:rFonts w:ascii="Times New Roman" w:hAnsi="Times New Roman"/>
                <w:sz w:val="20"/>
                <w:vertAlign w:val="subscript"/>
              </w:rPr>
              <w:t xml:space="preserve">29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347.23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0.802</w:t>
            </w:r>
          </w:p>
        </w:tc>
      </w:tr>
    </w:tbl>
    <w:p/>
    <w:p>
      <w:pPr>
        <w:pStyle w:val="BodyText"/>
        <w:jc w:val="both"/>
        <w:keepNext w:val="0"/>
        <w:keepLines w:val="0"/>
        <w:widowControl w:val="1"/>
      </w:pPr>
      <w:r>
        <w:rPr>
          <w:b/>
          <w:bCs/>
        </w:rPr>
        <w:t xml:space="preserve">Table E.2.</w:t>
      </w:r>
      <w:r>
        <w:t xml:space="preserve"> </w:t>
      </w:r>
      <w: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O=C(O[C@@H]1C[C@H]2CC[C@H]3O[C@]2(C1)C1=C3CCCC1)C(=O)C1CC1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19</w:t>
            </w:r>
            <w:r>
              <w:rPr>
                <w:rFonts w:ascii="Times New Roman" w:hAnsi="Times New Roman"/>
                <w:sz w:val="20"/>
              </w:rPr>
              <w:t xml:space="preserve">H</w:t>
            </w:r>
            <w:r>
              <w:rPr>
                <w:rFonts w:ascii="Times New Roman" w:hAnsi="Times New Roman"/>
                <w:sz w:val="20"/>
                <w:vertAlign w:val="subscript"/>
              </w:rPr>
              <w:t xml:space="preserve">24</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316.17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0.775</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CC(=N)OC(=O)OC12OC(OCCO)C1O2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11</w:t>
            </w:r>
            <w:r>
              <w:rPr>
                <w:rFonts w:ascii="Times New Roman" w:hAnsi="Times New Roman"/>
                <w:sz w:val="20"/>
              </w:rPr>
              <w:t xml:space="preserve">NO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233.05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0.754</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CC[C@H](c1cccc2ccccc12)[C@@H](/C=C/C[C@]1(C)C(=O)N2C(=O)N=C(OC)O[C@H]2[C@@H]1C(OC)=C(C)O)COC</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38</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550.27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CCN1N=C2OC(=O)N=CN=C2C(O)=NC1=NO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8</w:t>
            </w:r>
            <w:r>
              <w:rPr>
                <w:rFonts w:ascii="Times New Roman" w:hAnsi="Times New Roman"/>
                <w:sz w:val="20"/>
              </w:rPr>
              <w:t xml:space="preserve">N</w:t>
            </w:r>
            <w:r>
              <w:rPr>
                <w:rFonts w:ascii="Times New Roman" w:hAnsi="Times New Roman"/>
                <w:sz w:val="20"/>
                <w:vertAlign w:val="subscript"/>
              </w:rPr>
              <w:t xml:space="preserve">6</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252.06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CC(=O)[C@@H]1[C@@H](O)[C@H](C(C)(C)C)[C@@H]1N1C(=O)C(=O)N(C)C(=O)CN1[N+](=O)[O-]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15</w:t>
            </w:r>
            <w:r>
              <w:rPr>
                <w:rFonts w:ascii="Times New Roman" w:hAnsi="Times New Roman"/>
                <w:sz w:val="20"/>
              </w:rPr>
              <w:t xml:space="preserve">H</w:t>
            </w:r>
            <w:r>
              <w:rPr>
                <w:rFonts w:ascii="Times New Roman" w:hAnsi="Times New Roman"/>
                <w:sz w:val="20"/>
                <w:vertAlign w:val="subscript"/>
              </w:rPr>
              <w:t xml:space="preserve">22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370.15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0.743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CC1N=C2OC(=O)OC2OC(Oc2nnno2)COC1C#N</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10</w:t>
            </w:r>
            <w:r>
              <w:rPr>
                <w:rFonts w:ascii="Times New Roman" w:hAnsi="Times New Roman"/>
                <w:sz w:val="20"/>
              </w:rPr>
              <w:t xml:space="preserve">H</w:t>
            </w:r>
            <w:r>
              <w:rPr>
                <w:rFonts w:ascii="Times New Roman" w:hAnsi="Times New Roman"/>
                <w:sz w:val="20"/>
                <w:vertAlign w:val="subscript"/>
              </w:rPr>
              <w:t xml:space="preserve">9</w:t>
            </w:r>
            <w:r>
              <w:rPr>
                <w:rFonts w:ascii="Times New Roman" w:hAnsi="Times New Roman"/>
                <w:sz w:val="20"/>
              </w:rPr>
              <w:t xml:space="preserve">N</w:t>
            </w:r>
            <w:r>
              <w:rPr>
                <w:rFonts w:ascii="Times New Roman" w:hAnsi="Times New Roman"/>
                <w:sz w:val="20"/>
                <w:vertAlign w:val="subscript"/>
              </w:rPr>
              <w:t xml:space="preserve">5</w:t>
            </w:r>
            <w:r>
              <w:rPr>
                <w:rFonts w:ascii="Times New Roman" w:hAnsi="Times New Roman"/>
                <w:sz w:val="20"/>
              </w:rPr>
              <w:t xml:space="preserve">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311.05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C[C@@H]([C@@H]1C=C(/C=C\C=C2\CCCCN2C)[C@]2(C=Nc3ccccc32)C(=O)[C@@H]1OCc1ccccc1)[N+](=O)[O-]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31</w:t>
            </w:r>
            <w:r>
              <w:rPr>
                <w:rFonts w:ascii="Times New Roman" w:hAnsi="Times New Roman"/>
                <w:sz w:val="20"/>
              </w:rPr>
              <w:t xml:space="preserve">H</w:t>
            </w:r>
            <w:r>
              <w:rPr>
                <w:rFonts w:ascii="Times New Roman" w:hAnsi="Times New Roman"/>
                <w:sz w:val="20"/>
                <w:vertAlign w:val="subscript"/>
              </w:rPr>
              <w:t xml:space="preserve">33</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511.25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0.739</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C=C1N=C2OC(=O)N2C(=O)COC(=O)NC1=O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5</w:t>
            </w:r>
            <w:r>
              <w:rPr>
                <w:rFonts w:ascii="Times New Roman" w:hAnsi="Times New Roman"/>
                <w:sz w:val="20"/>
              </w:rPr>
              <w:t xml:space="preserve">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239.02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CC12OC(O1)C(=O)C(=O)N(C=O)OCC2=O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7</w:t>
            </w:r>
            <w:r>
              <w:rPr>
                <w:rFonts w:ascii="Times New Roman" w:hAnsi="Times New Roman"/>
                <w:sz w:val="20"/>
              </w:rPr>
              <w:t xml:space="preserve">NO</w:t>
            </w:r>
            <w:r>
              <w:rPr>
                <w:rFonts w:ascii="Times New Roman" w:hAnsi="Times New Roman"/>
                <w:sz w:val="20"/>
                <w:vertAlign w:val="subscript"/>
              </w:rPr>
              <w:t xml:space="preserve">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229.02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0.732</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COC(=O)N1CCCC(C)(C)N1O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8</w:t>
            </w:r>
            <w:r>
              <w:rPr>
                <w:rFonts w:ascii="Times New Roman" w:hAnsi="Times New Roman"/>
                <w:sz w:val="20"/>
              </w:rPr>
              <w:t xml:space="preserve">H</w:t>
            </w:r>
            <w:r>
              <w:rPr>
                <w:rFonts w:ascii="Times New Roman" w:hAnsi="Times New Roman"/>
                <w:sz w:val="20"/>
                <w:vertAlign w:val="subscript"/>
              </w:rPr>
              <w:t xml:space="preserve">16</w:t>
            </w:r>
            <w:r>
              <w:rPr>
                <w:rFonts w:ascii="Times New Roman" w:hAnsi="Times New Roman"/>
                <w:sz w:val="20"/>
              </w:rPr>
              <w:t xml:space="preserve">N</w:t>
            </w:r>
            <w:r>
              <w:rPr>
                <w:rFonts w:ascii="Times New Roman" w:hAnsi="Times New Roman"/>
                <w:sz w:val="20"/>
                <w:vertAlign w:val="subscript"/>
              </w:rPr>
              <w:t xml:space="preserve">2</w:t>
            </w:r>
            <w:r>
              <w:rPr>
                <w:rFonts w:ascii="Times New Roman" w:hAnsi="Times New Roman"/>
                <w:sz w:val="20"/>
              </w:rPr>
              <w:t xml:space="preserve">O</w:t>
            </w:r>
            <w:r>
              <w:rPr>
                <w:rFonts w:ascii="Times New Roman" w:hAnsi="Times New Roman"/>
                <w:sz w:val="20"/>
                <w:vertAlign w:val="subscript"/>
              </w:rPr>
              <w:t xml:space="preserve">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188.12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0.730</w:t>
            </w:r>
          </w:p>
        </w:tc>
      </w:tr>
    </w:tbl>
    <w:bookmarkEnd w:id="36"/>
    <w:bookmarkStart w:id="46" w:name="sec-app-detailed-ablations"/>
    <w:p>
      <w:pPr>
        <w:pStyle w:val="Heading3"/>
        <w:keepNext/>
        <w:keepLines/>
        <w:widowControl w:val="1"/>
      </w:pPr>
      <w:r>
        <w:t xml:space="preserve">F. Detailed ablations (migrated from §5.6)</w:t>
      </w:r>
    </w:p>
    <w:p>
      <w:pPr>
        <w:pStyle w:val="FirstParagraph"/>
        <w:jc w:val="both"/>
        <w:keepNext w:val="0"/>
        <w:keepLines w:val="0"/>
        <w:widowControl w:val="1"/>
      </w:pPr>
      <w:r>
        <w:t xml:space="preserve">This appendix collects the full prose, sub-tables, and figures for each ablation summarised in Table 9. The body §5.6 carries only the headline numbers; this appendix carries the per-condition detail.</w:t>
      </w:r>
    </w:p>
    <w:bookmarkStart w:id="37" w:name="X7f46fb8cf73c908041506efc0a6b47d5c886f1f"/>
    <w:p>
      <w:pPr>
        <w:pStyle w:val="Heading4"/>
        <w:keepNext/>
        <w:keepLines/>
        <w:widowControl w:val="1"/>
      </w:pPr>
      <w:r>
        <w:t xml:space="preserve">F.1 Self-distillation hard-negative budget (137 vs 918)</w:t>
      </w:r>
    </w:p>
    <w:p>
      <w:pPr>
        <w:pStyle w:val="FirstParagraph"/>
        <w:jc w:val="both"/>
        <w:keepNext w:val="0"/>
        <w:keepLines w:val="0"/>
        <w:widowControl w:val="1"/>
      </w:pPr>
      <w: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t xml:space="preserve"> </w:t>
      </w:r>
      <m:oMath>
        <m:r>
          <m:rPr>
            <m:sty m:val="p"/>
          </m:rPr>
          <m:t>×</m:t>
        </m:r>
        <m:r>
          <m:t>1.20</m:t>
        </m:r>
      </m:oMath>
      <w:r>
        <w:t xml:space="preserve">) are evaluated on a held-out 7-anchor / 5-cheat probe (RDX, HMX, TNT, FOX-7, PETN, TATB plus five known model-cheats: gem-tetranitro on C2, trinitromethane, gem-dinitro-cyclopropane, polyazene-NO</w:t>
      </w:r>
      <w:r>
        <w:rPr>
          <w:vertAlign w:val="subscript"/>
        </w:rPr>
        <w:t xml:space="preserve">2</w:t>
      </w:r>
      <w:r>
        <w:t xml:space="preserve"> </w:t>
      </w:r>
      <w: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w:t>
      </w:r>
      <w:r>
        <w:t xml:space="preserve"> </w:t>
      </w:r>
      <w:hyperlink w:anchor="sec-app">
        <w:r>
          <w:rPr>
            <w:rStyle w:val="Hyperlink"/>
          </w:rPr>
          <w:t xml:space="preserve">Appendix D.9</w:t>
        </w:r>
      </w:hyperlink>
      <w:r>
        <w:t xml:space="preserve">; the SC-gradient sweep and the heuristic-vs-literature sensitivity-head ablation (Appendix B.2) are in</w:t>
      </w:r>
      <w:r>
        <w:t xml:space="preserve"> </w:t>
      </w:r>
      <w:hyperlink w:anchor="sec-app">
        <w:r>
          <w:rPr>
            <w:rStyle w:val="Hyperlink"/>
          </w:rPr>
          <w:t xml:space="preserve">Appendix D.6</w:t>
        </w:r>
      </w:hyperlink>
      <w:r>
        <w:t xml:space="preserve">.</w:t>
      </w:r>
    </w:p>
    <w:p>
      <w:pPr>
        <w:pStyle w:val="BodyText"/>
        <w:jc w:val="both"/>
        <w:keepNext w:val="0"/>
        <w:keepLines w:val="0"/>
        <w:widowControl w:val="1"/>
      </w:pPr>
      <w:r>
        <w:rPr>
          <w:b/>
          <w:bCs/>
        </w:rPr>
        <w:t xml:space="preserve">Table F.1.</w:t>
      </w:r>
      <w:r>
        <w:t xml:space="preserve"> </w:t>
      </w:r>
      <w: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137 (round-1)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0.84</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918 (production)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0.84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0.74 (−0.10 absolute)</w:t>
            </w:r>
          </w:p>
        </w:tc>
      </w:tr>
    </w:tbl>
    <w:bookmarkEnd w:id="37"/>
    <w:bookmarkStart w:id="38" w:name="Xdf2932c87349f66e16946a8d44aeed56b1d4c5f"/>
    <w:p>
      <w:pPr>
        <w:pStyle w:val="Heading4"/>
        <w:keepNext/>
        <w:keepLines/>
        <w:widowControl w:val="1"/>
      </w:pPr>
      <w:r>
        <w:t xml:space="preserve">F.2 Diffusion + guidance prior vs Gaussian-latent control</w:t>
      </w:r>
    </w:p>
    <w:p>
      <w:pPr>
        <w:pStyle w:val="FirstParagraph"/>
        <w:jc w:val="both"/>
        <w:keepNext w:val="0"/>
        <w:keepLines w:val="0"/>
        <w:widowControl w:val="1"/>
      </w:pPr>
      <w:r>
        <w:t xml:space="preserve">An initial 3k-sample Gaussian baseline (LIMO decoder + SMARTS gate + SA/SC caps + Tanimoto window [0.15, 0.65] + Uni-Mol ranking) yields a top-1 composite of 1.10 (</w:t>
      </w:r>
      <m:oMath>
        <m:r>
          <m:t>ρ</m:t>
        </m:r>
        <m:r>
          <m:rPr>
            <m:sty m:val="p"/>
          </m:rPr>
          <m:t>=</m:t>
        </m:r>
        <m:r>
          <m:t>1.89</m:t>
        </m:r>
      </m:oMath>
      <w:r>
        <w:t xml:space="preserve"> g/cm</w:t>
      </w:r>
      <w:r>
        <w:rPr>
          <w:vertAlign w:val="superscript"/>
        </w:rPr>
        <w:t xml:space="preserve">3</w:t>
      </w:r>
      <w:r>
        <w:t xml:space="preserve">,</w:t>
      </w:r>
      <w:r>
        <w:t xml:space="preserve"> </w:t>
      </w:r>
      <m:oMath>
        <m:r>
          <m:t>D</m:t>
        </m:r>
        <m:r>
          <m:rPr>
            <m:sty m:val="p"/>
          </m:rPr>
          <m:t>=</m:t>
        </m:r>
        <m:r>
          <m:t>9.02</m:t>
        </m:r>
      </m:oMath>
      <w:r>
        <w:t xml:space="preserve"> km/s,</w:t>
      </w:r>
      <w:r>
        <w:t xml:space="preserve"> </w:t>
      </w:r>
      <m:oMath>
        <m:r>
          <m:t>P</m:t>
        </m:r>
        <m:r>
          <m:rPr>
            <m:sty m:val="p"/>
          </m:rPr>
          <m:t>=</m:t>
        </m:r>
        <m:r>
          <m:t>35.9</m:t>
        </m:r>
      </m:oMath>
      <w:r>
        <w:t xml:space="preserve"> GPa) with a 15 % pipeline keep rate. A compute-matched 40k run (described below and in Table F.2) reveals a qualitatively different picture once the Uni-Mol performance-ranking step is removed.</w:t>
      </w:r>
    </w:p>
    <w:p>
      <w:pPr>
        <w:pStyle w:val="BodyText"/>
        <w:jc w:val="both"/>
        <w:keepNext w:val="0"/>
        <w:keepLines w:val="0"/>
        <w:widowControl w:val="1"/>
      </w:pPr>
      <w:r>
        <w:t xml:space="preserve">A compute-matched Gaussian-latent baseline (40k samples,</w:t>
      </w:r>
      <w:r>
        <w:t xml:space="preserve"> </w:t>
      </w:r>
      <m:oMath>
        <m:r>
          <m:rPr>
            <m:scr m:val="script"/>
            <m:sty m:val="p"/>
          </m:rPr>
          <m:t>N</m:t>
        </m:r>
        <m:r>
          <m:rPr>
            <m:sty m:val="p"/>
          </m:rPr>
          <m:t>(</m:t>
        </m:r>
        <m:r>
          <m:t>0</m:t>
        </m:r>
        <m:r>
          <m:rPr>
            <m:sty m:val="p"/>
          </m:rPr>
          <m:t>,</m:t>
        </m:r>
        <m:sSub>
          <m:e>
            <m:r>
              <m:t>I</m:t>
            </m:r>
          </m:e>
          <m:sub>
            <m:r>
              <m:t>1024</m:t>
            </m:r>
          </m:sub>
        </m:sSub>
        <m:r>
          <m:rPr>
            <m:sty m:val="p"/>
          </m:rPr>
          <m:t>)</m:t>
        </m:r>
      </m:oMath>
      <w:r>
        <w:t xml:space="preserve"> </w:t>
      </w:r>
      <w:r>
        <w:t xml:space="preserve">decoded through frozen LIMO, then min-10-HA fragment gate + CHNO SMARTS gate + SA ≤ 6.5 + Tanimoto novelty window [0.15, 0.65]) was run to close the pool-size mismatch noted in the original caveat. The results reveal a qualitative difference beyond the D-lift: the Gaussian prior achieves a keep rate of 48 % (19 258 / 40 000), far higher than DGLD's 4.6 %, because the Gaussian prior generates mostly chemically plausible</w:t>
      </w:r>
      <w:r>
        <w:t xml:space="preserve"> </w:t>
      </w:r>
      <w:r>
        <w:rPr>
          <w:i/>
          <w:iCs/>
        </w:rPr>
        <w:t xml:space="preserve">but performance-degenerate</w:t>
      </w:r>
      <w:r>
        <w:t xml:space="preserve"> </w:t>
      </w:r>
      <w: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t xml:space="preserve"> </w:t>
      </w:r>
      <m:oMath>
        <m:r>
          <m:t>D</m:t>
        </m:r>
        <m:r>
          <m:rPr>
            <m:sty m:val="p"/>
          </m:rPr>
          <m:t>=</m:t>
        </m:r>
        <m:r>
          <m:t>9.47</m:t>
        </m:r>
      </m:oMath>
      <w: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BodyText"/>
        <w:jc w:val="both"/>
        <w:keepNext w:val="0"/>
        <w:keepLines w:val="0"/>
        <w:widowControl w:val="1"/>
      </w:pPr>
      <w:r>
        <w:rPr>
          <w:b/>
          <w:bCs/>
        </w:rPr>
        <w:t xml:space="preserve">Table F.2.</w:t>
      </w:r>
      <w:r>
        <w:t xml:space="preserve"> </w:t>
      </w:r>
      <w: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(3k, Uni-Mol-ranked)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9.02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15 % (Uni-Mol)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O=[N+]([O-])c1ccncc1</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Gaussian</w:t>
            </w:r>
            <w:r>
              <w:rPr>
                <w:rFonts w:ascii="Times New Roman" w:hAnsi="Times New Roman"/>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20"/>
              </w:rPr>
              <w:t xml:space="preserve"> </w:t>
            </w:r>
            <w:r>
              <w:rPr>
                <w:rFonts w:ascii="Times New Roman" w:hAnsi="Times New Roman"/>
                <w:sz w:val="20"/>
              </w:rPr>
              <w:t xml:space="preserve">(40k, N-frac proxy)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ranked by D; N-fraction proxy)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(not on the DGLD scale)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48 % (SMARTS+SA+min-10-HA)</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NC=NCNNCCCNn1cnnn1</w:t>
            </w:r>
            <w:r>
              <w:rPr>
                <w:rFonts w:ascii="Times New Roman" w:hAnsi="Times New Roman"/>
                <w:sz w:val="20"/>
              </w:rPr>
              <w:t xml:space="preserve"> </w:t>
            </w:r>
            <w:r>
              <w:rPr>
                <w:rFonts w:ascii="Times New Roman" w:hAnsi="Times New Roman"/>
                <w:sz w:val="20"/>
              </w:rPr>
              <w:t xml:space="preserve">(15-HA tetrazole chain,</w:t>
            </w:r>
            <w:r>
              <w:rPr>
                <w:rFonts w:ascii="Times New Roman" w:hAnsi="Times New Roman"/>
                <w:sz w:val="20"/>
              </w:rPr>
              <w:t xml:space="preserve"> </w:t>
            </w:r>
            <m:oMath>
              <m:sSub>
                <m:e>
                  <m:r>
                    <m:t>f</m:t>
                  </m:r>
                </m:e>
                <m:sub>
                  <m:r>
                    <m:t>N</m:t>
                  </m:r>
                </m:sub>
              </m:sSub>
              <m:r>
                <m:rPr>
                  <m:sty m:val="p"/>
                </m:rPr>
                <m:t>=</m:t>
              </m:r>
              <m:r>
                <m:t>0.60</m:t>
              </m:r>
            </m:oMath>
            <w:r>
              <w:rPr>
                <w:rFonts w:ascii="Times New Roman" w:hAnsi="Times New Roman"/>
                <w:sz w:val="20"/>
              </w:rPr>
              <w:t xml:space="preserve">)</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diffusion + guidance (M7 100k)</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0.665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4.6 % (Uni-Mol)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O=[N+]([O-])OC1C([N+](=O)[O-])=C1[N+](=O)[O-]</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Lift (DGLD over Gaussian 3k)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−0.44 (better)</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w:t>
            </w:r>
          </w:p>
        </w:tc>
      </w:tr>
    </w:tbl>
    <w:bookmarkEnd w:id="38"/>
    <w:bookmarkStart w:id="42" w:name="X88105d488b1213661e0c16860dffb753f6720de"/>
    <w:p>
      <w:pPr>
        <w:pStyle w:val="Heading4"/>
        <w:keepNext/>
        <w:keepLines/>
        <w:widowControl w:val="1"/>
      </w:pPr>
      <w:r>
        <w:t xml:space="preserve">F.3 Multi-head guidance vs unguided at matched compute</w:t>
      </w:r>
    </w:p>
    <w:p>
      <w:pPr>
        <w:pStyle w:val="FirstParagraph"/>
        <w:jc w:val="both"/>
        <w:keepNext w:val="0"/>
        <w:keepLines w:val="0"/>
        <w:widowControl w:val="1"/>
      </w:pPr>
      <w:r>
        <w:t xml:space="preserve">At pool=10 000 each, with identical denoiser and only the sampler differing, multi-head guidance lifts max composite from 0.64 to 0.69, top-1</w:t>
      </w:r>
      <w:r>
        <w:t xml:space="preserve"> </w:t>
      </w:r>
      <m:oMath>
        <m:r>
          <m:t>D</m:t>
        </m:r>
      </m:oMath>
      <w:r>
        <w:t xml:space="preserve"> </w:t>
      </w:r>
      <w:r>
        <w:t xml:space="preserve">from 8.94 to 9.51 km/s, and top-1</w:t>
      </w:r>
      <w:r>
        <w:t xml:space="preserve"> </w:t>
      </w:r>
      <m:oMath>
        <m:r>
          <m:t>P</m:t>
        </m:r>
      </m:oMath>
      <w:r>
        <w:t xml:space="preserve"> </w:t>
      </w:r>
      <w: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40" name="Picture"/>
            <a:graphic>
              <a:graphicData uri="http://schemas.openxmlformats.org/drawingml/2006/picture">
                <pic:pic>
                  <pic:nvPicPr>
                    <pic:cNvPr descr="figs/fig7_guided_vs_unguided.png" id="41" name="Picture"/>
                    <pic:cNvPicPr>
                      <a:picLocks noChangeArrowheads="1" noChangeAspect="1"/>
                    </pic:cNvPicPr>
                  </pic:nvPicPr>
                  <pic:blipFill>
                    <a:blip r:embed="rId39"/>
                    <a:stretch>
                      <a:fillRect/>
                    </a:stretch>
                  </pic:blipFill>
                  <pic:spPr bwMode="auto">
                    <a:xfrm>
                      <a:off x="0" y="0"/>
                      <a:ext cx="5943600" cy="3021192"/>
                    </a:xfrm>
                    <a:prstGeom prst="rect">
                      <a:avLst/>
                    </a:prstGeom>
                    <a:noFill/>
                    <a:ln w="9525">
                      <a:noFill/>
                      <a:headEnd/>
                      <a:tailEnd/>
                    </a:ln>
                  </pic:spPr>
                </pic:pic>
              </a:graphicData>
            </a:graphic>
          </wp:inline>
        </w:drawing>
      </w:r>
    </w:p>
    <w:p>
      <w:pPr>
        <w:pStyle w:val="BodyText"/>
        <w:jc w:val="both"/>
        <w:keepNext w:val="0"/>
        <w:keepLines w:val="0"/>
        <w:widowControl w:val="1"/>
      </w:pPr>
      <w:r>
        <w:rPr>
          <w:b/>
          <w:bCs/>
        </w:rPr>
        <w:t xml:space="preserve">Figure F.1.</w:t>
      </w:r>
      <w:r>
        <w:t xml:space="preserve"> </w:t>
      </w:r>
      <w:r>
        <w:t xml:space="preserve">Effect of multi-head score-model guidance on the composite-score distribution at matched compute (pool = 10 000 each, post hard-gate filter). The denoiser is identical in both runs; only the sampler differs.</w:t>
      </w:r>
    </w:p>
    <w:p>
      <w:pPr>
        <w:pStyle w:val="BodyText"/>
        <w:jc w:val="both"/>
        <w:keepNext w:val="0"/>
        <w:keepLines w:val="0"/>
        <w:widowControl w:val="1"/>
      </w:pPr>
      <w: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t xml:space="preserve"> </w:t>
      </w:r>
      <w:r>
        <w:rPr>
          <w:b/>
          <w:bCs/>
        </w:rPr>
        <w:t xml:space="preserve">C0 unguided</w:t>
      </w:r>
      <w:r>
        <w:t xml:space="preserve"> </w:t>
      </w:r>
      <w:r>
        <w:t xml:space="preserve">(classifier-free guidance only);</w:t>
      </w:r>
      <w:r>
        <w:t xml:space="preserve"> </w:t>
      </w:r>
      <w:r>
        <w:rPr>
          <w:b/>
          <w:bCs/>
        </w:rPr>
        <w:t xml:space="preserve">C1 viab+sens</w:t>
      </w:r>
      <w:r>
        <w:t xml:space="preserve"> </w:t>
      </w:r>
      <w:r>
        <w:t xml:space="preserve">(</w:t>
      </w:r>
      <m:oMath>
        <m:sSub>
          <m:e>
            <m:r>
              <m:t>s</m:t>
            </m:r>
          </m:e>
          <m:sub>
            <m:r>
              <m:rPr>
                <m:nor/>
                <m:sty m:val="p"/>
              </m:rPr>
              <m:t>viab</m:t>
            </m:r>
          </m:sub>
        </m:sSub>
        <m:r>
          <m:rPr>
            <m:sty m:val="p"/>
          </m:rPr>
          <m:t>=</m:t>
        </m:r>
        <m:r>
          <m:t>1.0</m:t>
        </m:r>
      </m:oMath>
      <w:r>
        <w:t xml:space="preserve">,</w:t>
      </w:r>
      <w:r>
        <w:t xml:space="preserve"> </w:t>
      </w:r>
      <m:oMath>
        <m:sSub>
          <m:e>
            <m:r>
              <m:t>s</m:t>
            </m:r>
          </m:e>
          <m:sub>
            <m:r>
              <m:rPr>
                <m:nor/>
                <m:sty m:val="p"/>
              </m:rPr>
              <m:t>sens</m:t>
            </m:r>
          </m:sub>
        </m:sSub>
        <m:r>
          <m:rPr>
            <m:sty m:val="p"/>
          </m:rPr>
          <m:t>=</m:t>
        </m:r>
        <m:r>
          <m:t>0.3</m:t>
        </m:r>
      </m:oMath>
      <w:r>
        <w:t xml:space="preserve">);</w:t>
      </w:r>
      <w:r>
        <w:t xml:space="preserve"> </w:t>
      </w:r>
      <w:r>
        <w:rPr>
          <w:b/>
          <w:bCs/>
        </w:rPr>
        <w:t xml:space="preserve">C2 viab+sens+hazard</w:t>
      </w:r>
      <w:r>
        <w:t xml:space="preserve"> </w:t>
      </w:r>
      <w:r>
        <w:t xml:space="preserve">(</w:t>
      </w:r>
      <m:oMath>
        <m:r>
          <m:rPr>
            <m:sty m:val="p"/>
          </m:rPr>
          <m:t>+</m:t>
        </m:r>
        <m:sSub>
          <m:e>
            <m:r>
              <m:t>s</m:t>
            </m:r>
          </m:e>
          <m:sub>
            <m:r>
              <m:rPr>
                <m:nor/>
                <m:sty m:val="p"/>
              </m:rPr>
              <m:t>hazard</m:t>
            </m:r>
          </m:sub>
        </m:sSub>
        <m:r>
          <m:rPr>
            <m:sty m:val="p"/>
          </m:rPr>
          <m:t>=</m:t>
        </m:r>
        <m:r>
          <m:t>1.0</m:t>
        </m:r>
      </m:oMath>
      <w:r>
        <w:t xml:space="preserve">);</w:t>
      </w:r>
      <w:r>
        <w:t xml:space="preserve"> </w:t>
      </w:r>
      <w:r>
        <w:rPr>
          <w:b/>
          <w:bCs/>
        </w:rPr>
        <w:t xml:space="preserve">C3 hazard-only</w:t>
      </w:r>
      <w:r>
        <w:t xml:space="preserve"> </w:t>
      </w:r>
      <w:r>
        <w:t xml:space="preserve">(</w:t>
      </w:r>
      <m:oMath>
        <m:sSub>
          <m:e>
            <m:r>
              <m:t>s</m:t>
            </m:r>
          </m:e>
          <m:sub>
            <m:r>
              <m:rPr>
                <m:nor/>
                <m:sty m:val="p"/>
              </m:rPr>
              <m:t>hazard</m:t>
            </m:r>
          </m:sub>
        </m:sSub>
        <m:r>
          <m:rPr>
            <m:sty m:val="p"/>
          </m:rPr>
          <m:t>=</m:t>
        </m:r>
        <m:r>
          <m:t>2.0</m:t>
        </m:r>
      </m:oMath>
      <w:r>
        <w:t xml:space="preserve">, other heads off).</w:t>
      </w:r>
    </w:p>
    <w:p>
      <w:pPr>
        <w:pStyle w:val="BodyText"/>
        <w:jc w:val="both"/>
        <w:keepNext w:val="0"/>
        <w:keepLines w:val="0"/>
        <w:widowControl w:val="1"/>
      </w:pPr>
      <w:r>
        <w:rPr>
          <w:b/>
          <w:bCs/>
        </w:rPr>
        <w:t xml:space="preserve">Table F.3.</w:t>
      </w:r>
      <w:r>
        <w:t xml:space="preserve"> </w:t>
      </w:r>
      <w: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C0</w:t>
            </w:r>
            <w:r>
              <w:rPr>
                <w:rFonts w:ascii="Times New Roman" w:hAnsi="Times New Roman"/>
                <w:sz w:val="20"/>
              </w:rPr>
              <w:t xml:space="preserve"> </w:t>
            </w:r>
            <w:r>
              <w:rPr>
                <w:rFonts w:ascii="Times New Roman" w:hAnsi="Times New Roman"/>
                <w:sz w:val="20"/>
              </w:rPr>
              <w:t xml:space="preserve">unguided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1</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3</w:t>
            </w:r>
            <w:r>
              <w:rPr>
                <w:rFonts w:ascii="Times New Roman" w:hAnsi="Times New Roman"/>
                <w:sz w:val="20"/>
              </w:rPr>
              <w:t xml:space="preserve"> </w:t>
            </w:r>
            <w:r>
              <w:rPr>
                <w:rFonts w:ascii="Times New Roman" w:hAnsi="Times New Roman"/>
                <w:sz w:val="20"/>
              </w:rPr>
              <w:t xml:space="preserve">(4-nitro-1,2,3,5-oxatriazole)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O=[N+]([O-])c1nnon1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0.806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C1</w:t>
            </w:r>
            <w:r>
              <w:rPr>
                <w:rFonts w:ascii="Times New Roman" w:hAnsi="Times New Roman"/>
                <w:sz w:val="20"/>
              </w:rPr>
              <w:t xml:space="preserve"> </w:t>
            </w:r>
            <w:r>
              <w:rPr>
                <w:rFonts w:ascii="Times New Roman" w:hAnsi="Times New Roman"/>
                <w:sz w:val="20"/>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w:t>
            </w:r>
            <w:r>
              <w:rPr>
                <w:rFonts w:ascii="Times New Roman" w:hAnsi="Times New Roman"/>
                <w:sz w:val="20"/>
                <w:vertAlign w:val="subscript"/>
              </w:rPr>
              <w:t xml:space="preserve">2</w:t>
            </w:r>
            <w:r>
              <w:rPr>
                <w:rFonts w:ascii="Times New Roman" w:hAnsi="Times New Roman"/>
                <w:sz w:val="20"/>
              </w:rPr>
              <w:t xml:space="preserve">N</w:t>
            </w:r>
            <w:r>
              <w:rPr>
                <w:rFonts w:ascii="Times New Roman" w:hAnsi="Times New Roman"/>
                <w:sz w:val="20"/>
                <w:vertAlign w:val="subscript"/>
              </w:rPr>
              <w:t xml:space="preserve">4</w:t>
            </w:r>
            <w:r>
              <w:rPr>
                <w:rFonts w:ascii="Times New Roman" w:hAnsi="Times New Roman"/>
                <w:sz w:val="20"/>
              </w:rPr>
              <w:t xml:space="preserve">O</w:t>
            </w:r>
            <w:r>
              <w:rPr>
                <w:rFonts w:ascii="Times New Roman" w:hAnsi="Times New Roman"/>
                <w:sz w:val="20"/>
                <w:vertAlign w:val="subscript"/>
              </w:rPr>
              <w:t xml:space="preserve">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0.778</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C2</w:t>
            </w:r>
            <w:r>
              <w:rPr>
                <w:rFonts w:ascii="Times New Roman" w:hAnsi="Times New Roman"/>
                <w:sz w:val="20"/>
              </w:rPr>
              <w:t xml:space="preserve"> </w:t>
            </w:r>
            <w:r>
              <w:rPr>
                <w:rFonts w:ascii="Times New Roman" w:hAnsi="Times New Roman"/>
                <w:sz w:val="20"/>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(dinitro-vinylene)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0.779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C3</w:t>
            </w:r>
            <w:r>
              <w:rPr>
                <w:rFonts w:ascii="Times New Roman" w:hAnsi="Times New Roman"/>
                <w:sz w:val="20"/>
              </w:rPr>
              <w:t xml:space="preserve"> </w:t>
            </w:r>
            <w:r>
              <w:rPr>
                <w:rFonts w:ascii="Times New Roman" w:hAnsi="Times New Roman"/>
                <w:sz w:val="20"/>
              </w:rPr>
              <w:t xml:space="preserve">hazard-only (</w:t>
            </w:r>
            <m:oMath>
              <m:sSub>
                <m:e>
                  <m:r>
                    <m:t>s</m:t>
                  </m:r>
                </m:e>
                <m:sub>
                  <m:r>
                    <m:rPr>
                      <m:nor/>
                      <m:sty m:val="p"/>
                    </m:rPr>
                    <m:t>hazard</m:t>
                  </m:r>
                </m:sub>
              </m:sSub>
              <m:r>
                <m:t>​</m:t>
              </m:r>
              <m:r>
                <m:rPr>
                  <m:sty m:val="p"/>
                </m:rPr>
                <m:t>=</m:t>
              </m:r>
              <m:r>
                <m:t>​</m:t>
              </m:r>
              <m:r>
                <m:t>2.0</m:t>
              </m:r>
            </m:oMath>
            <w:r>
              <w:rPr>
                <w:rFonts w:ascii="Times New Roman" w:hAnsi="Times New Roman"/>
                <w:sz w:val="20"/>
              </w:rPr>
              <w:t xml:space="preserve">, others=0)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9.53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C</w:t>
            </w:r>
            <w:r>
              <w:rPr>
                <w:rFonts w:ascii="Times New Roman" w:hAnsi="Times New Roman"/>
                <w:sz w:val="20"/>
                <w:vertAlign w:val="subscript"/>
              </w:rPr>
              <w:t xml:space="preserve">2</w:t>
            </w:r>
            <w:r>
              <w:rPr>
                <w:rFonts w:ascii="Times New Roman" w:hAnsi="Times New Roman"/>
                <w:sz w:val="20"/>
              </w:rPr>
              <w:t xml:space="preserve">HN</w:t>
            </w:r>
            <w:r>
              <w:rPr>
                <w:rFonts w:ascii="Times New Roman" w:hAnsi="Times New Roman"/>
                <w:sz w:val="20"/>
                <w:vertAlign w:val="subscript"/>
              </w:rPr>
              <w:t xml:space="preserve">3</w:t>
            </w:r>
            <w:r>
              <w:rPr>
                <w:rFonts w:ascii="Times New Roman" w:hAnsi="Times New Roman"/>
                <w:sz w:val="20"/>
              </w:rPr>
              <w:t xml:space="preserve">O</w:t>
            </w:r>
            <w:r>
              <w:rPr>
                <w:rFonts w:ascii="Times New Roman" w:hAnsi="Times New Roman"/>
                <w:sz w:val="20"/>
                <w:vertAlign w:val="subscript"/>
              </w:rPr>
              <w:t xml:space="preserve">6</w:t>
            </w:r>
            <w:r>
              <w:rPr>
                <w:rFonts w:ascii="Times New Roman" w:hAnsi="Times New Roman"/>
                <w:sz w:val="20"/>
              </w:rPr>
              <w:t xml:space="preserve"> </w:t>
            </w:r>
            <w:r>
              <w:rPr>
                <w:rFonts w:ascii="Times New Roman" w:hAnsi="Times New Roman"/>
                <w:sz w:val="20"/>
              </w:rPr>
              <w:t xml:space="preserve">(same as C2)</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O=[N+]([O-])C=C([N+](=O)[O-])[N+](=O)[O-]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0.794</w:t>
            </w:r>
          </w:p>
        </w:tc>
      </w:tr>
    </w:tbl>
    <w:p>
      <w:pPr>
        <w:pStyle w:val="BodyText"/>
        <w:spacing w:before="160"/>
        <w:jc w:val="both"/>
        <w:keepNext w:val="0"/>
        <w:keepLines w:val="0"/>
        <w:widowControl w:val="1"/>
      </w:pPr>
      <w: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vertAlign w:val="subscript"/>
        </w:rPr>
        <w:t xml:space="preserve">1</w:t>
      </w:r>
      <w:r>
        <w:t xml:space="preserve">N</w:t>
      </w:r>
      <w:r>
        <w:rPr>
          <w:vertAlign w:val="subscript"/>
        </w:rPr>
        <w:t xml:space="preserve">4</w:t>
      </w:r>
      <w:r>
        <w:t xml:space="preserve">O</w:t>
      </w:r>
      <w:r>
        <w:rPr>
          <w:vertAlign w:val="subscript"/>
        </w:rPr>
        <w:t xml:space="preserve">3</w:t>
      </w:r>
      <w: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2"/>
    <w:bookmarkStart w:id="43" w:name="X045ac786cfd46cd5debcb1e5814f1bd5b7d8373"/>
    <w:p>
      <w:pPr>
        <w:pStyle w:val="Heading4"/>
        <w:keepNext/>
        <w:keepLines/>
        <w:widowControl w:val="1"/>
      </w:pPr>
      <w:r>
        <w:t xml:space="preserve">F.4 Per-head ablation (hazard, SA, seed-variance)</w:t>
      </w:r>
    </w:p>
    <w:p>
      <w:pPr>
        <w:pStyle w:val="FirstParagraph"/>
        <w:jc w:val="both"/>
        <w:keepNext w:val="0"/>
        <w:keepLines w:val="0"/>
        <w:widowControl w:val="1"/>
      </w:pPr>
      <w:r>
        <w:rPr>
          <w:b/>
          <w:bCs/>
        </w:rPr>
        <w:t xml:space="preserve">Why a separate SA head and what it costs.</w:t>
      </w:r>
      <w:r>
        <w:t xml:space="preserve"> </w:t>
      </w:r>
      <w: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t xml:space="preserve"> </w:t>
      </w:r>
      <m:oMath>
        <m:sSub>
          <m:e>
            <m:r>
              <m:t>w</m:t>
            </m:r>
          </m:e>
          <m:sub>
            <m:r>
              <m:rPr>
                <m:nor/>
                <m:sty m:val="p"/>
              </m:rPr>
              <m:t>SA</m:t>
            </m:r>
          </m:sub>
        </m:sSub>
        <m:r>
          <m:rPr>
            <m:sty m:val="p"/>
          </m:rPr>
          <m:t>=</m:t>
        </m:r>
        <m:r>
          <m:t>0.25</m:t>
        </m:r>
      </m:oMath>
      <w:r>
        <w:t xml:space="preserve"> </w:t>
      </w:r>
      <w: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BodyText"/>
        <w:jc w:val="both"/>
        <w:keepNext w:val="0"/>
        <w:keepLines w:val="0"/>
        <w:widowControl w:val="1"/>
      </w:pPr>
      <w: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BodyText"/>
        <w:jc w:val="both"/>
        <w:keepNext w:val="0"/>
        <w:keepLines w:val="0"/>
        <w:widowControl w:val="1"/>
      </w:pPr>
      <w:r>
        <w:rPr>
          <w:b/>
          <w:bCs/>
        </w:rPr>
        <w:t xml:space="preserve">Table F.4.</w:t>
      </w:r>
      <w:r>
        <w:t xml:space="preserve"> </w:t>
      </w:r>
      <w: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composite</w:t>
            </w:r>
            <w:r>
              <w:rPr>
                <w:rFonts w:ascii="Times New Roman" w:hAnsi="Times New Roman"/>
                <w:b/>
                <w:sz w:val="19"/>
              </w:rPr>
              <w:br/>
            </w:r>
            <w:r>
              <w:rPr>
                <w:rFonts w:ascii="Times New Roman" w:hAnsi="Times New Roman"/>
                <w:b/>
                <w:i/>
                <w:iCs/>
                <w:sz w:val="19"/>
              </w:rPr>
              <w:t xml:space="preserve">(lower = better)</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ρ</m:t>
              </m:r>
            </m:oMath>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P</m:t>
              </m:r>
            </m:oMath>
            <w:r>
              <w:rPr>
                <w:rFonts w:ascii="Times New Roman" w:hAnsi="Times New Roman"/>
                <w:b/>
                <w:sz w:val="19"/>
              </w:rPr>
              <w:t xml:space="preserve"> </w:t>
            </w:r>
            <w:r>
              <w:rPr>
                <w:rFonts w:ascii="Times New Roman" w:hAnsi="Times New Roman"/>
                <w:b/>
                <w:sz w:val="19"/>
              </w:rPr>
              <w:t xml:space="preserve">(GPa)</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max-Tani to LM</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seeds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Hz-C0 = SA-C0 unguided (cfg-only)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0.126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6</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SA-C1 viab-only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0.184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Hz-C1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SA-C2 viab+sens</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0.618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DGLD Hz-C2 viab+sens+hazard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0.485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0.152</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1.91</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0.27</w:t>
            </w:r>
            <w:r>
              <w:rPr>
                <w:rFonts w:ascii="Times New Roman" w:hAnsi="Times New Roman"/>
                <w:b/>
                <w:bCs/>
                <w:sz w:val="20"/>
              </w:rPr>
              <w:t xml:space="preserve"> </w:t>
            </w:r>
            <m:oMath>
              <m:r>
                <m:rPr>
                  <m:sty m:val="p"/>
                </m:rPr>
                <m:t>±</m:t>
              </m:r>
            </m:oMath>
            <w:r>
              <w:rPr>
                <w:rFonts w:ascii="Times New Roman" w:hAnsi="Times New Roman"/>
                <w:b/>
                <w:bCs/>
                <w:sz w:val="20"/>
              </w:rPr>
              <w:t xml:space="preserve"> </w:t>
            </w:r>
            <w:r>
              <w:rPr>
                <w:rFonts w:ascii="Times New Roman" w:hAnsi="Times New Roman"/>
                <w:b/>
                <w:bCs/>
                <w:sz w:val="20"/>
              </w:rPr>
              <w:t xml:space="preserve">0.03</w:t>
            </w:r>
            <w:r>
              <w:rPr>
                <w:rFonts w:ascii="Times New Roman" w:hAnsi="Times New Roman"/>
                <w:sz w:val="20"/>
              </w:rPr>
              <w:t xml:space="preserve"> </w:t>
            </w:r>
            <w:r>
              <w:rPr>
                <w:rFonts w:ascii="Times New Roman" w:hAnsi="Times New Roman"/>
                <w:sz w:val="20"/>
              </w:rPr>
              <w:t xml:space="preserve">(most novel)</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DGLD Hz-C3 hazard-only</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0.503</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0.131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9.32</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0.10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1.95</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38.8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0.05</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DGLD SA-C3 viab+sens+SA</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0.698</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0.015</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9.34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1.94</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0.01</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38.7</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0.49</w:t>
            </w:r>
            <w:r>
              <w:rPr>
                <w:rFonts w:ascii="Times New Roman" w:hAnsi="Times New Roman"/>
                <w:sz w:val="20"/>
              </w:rPr>
              <w:t xml:space="preserve"> </w:t>
            </w:r>
            <m:oMath>
              <m:r>
                <m:rPr>
                  <m:sty m:val="p"/>
                </m:rPr>
                <m:t>±</m:t>
              </m:r>
            </m:oMath>
            <w:r>
              <w:rPr>
                <w:rFonts w:ascii="Times New Roman" w:hAnsi="Times New Roman"/>
                <w:sz w:val="20"/>
              </w:rPr>
              <w:t xml:space="preserve"> </w:t>
            </w:r>
            <w:r>
              <w:rPr>
                <w:rFonts w:ascii="Times New Roman" w:hAnsi="Times New Roman"/>
                <w:sz w:val="20"/>
              </w:rPr>
              <w:t xml:space="preserve">0.06</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r>
    </w:tbl>
    <w:p>
      <w:pPr>
        <w:pStyle w:val="BodyText"/>
        <w:spacing w:before="160"/>
        <w:jc w:val="both"/>
        <w:keepNext w:val="0"/>
        <w:keepLines w:val="0"/>
        <w:widowControl w:val="1"/>
      </w:pPr>
      <w:r>
        <w:t xml:space="preserve">Per-condition seed variance (Hz-C1</w:t>
      </w:r>
      <w:r>
        <w:t xml:space="preserve"> </w:t>
      </w:r>
      <m:oMath>
        <m:r>
          <m:rPr>
            <m:sty m:val="p"/>
          </m:rPr>
          <m:t>=</m:t>
        </m:r>
      </m:oMath>
      <w:r>
        <w:t xml:space="preserve"> </w:t>
      </w:r>
      <w:r>
        <w:t xml:space="preserve">0.613, Hz-C2</w:t>
      </w:r>
      <w:r>
        <w:t xml:space="preserve"> </w:t>
      </w:r>
      <m:oMath>
        <m:r>
          <m:rPr>
            <m:sty m:val="p"/>
          </m:rPr>
          <m:t>=</m:t>
        </m:r>
      </m:oMath>
      <w:r>
        <w:t xml:space="preserve"> </w:t>
      </w:r>
      <w:r>
        <w:t xml:space="preserve">0.485, Hz-C3</w:t>
      </w:r>
      <w:r>
        <w:t xml:space="preserve"> </w:t>
      </w:r>
      <m:oMath>
        <m:r>
          <m:rPr>
            <m:sty m:val="p"/>
          </m:rPr>
          <m:t>=</m:t>
        </m:r>
      </m:oMath>
      <w:r>
        <w:t xml:space="preserve"> </w:t>
      </w:r>
      <w: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t xml:space="preserve"> </w:t>
      </w:r>
      <m:oMath>
        <m:sSub>
          <m:e>
            <m:r>
              <m:t>s</m:t>
            </m:r>
          </m:e>
          <m:sub>
            <m:r>
              <m:rPr>
                <m:nor/>
                <m:sty m:val="p"/>
              </m:rPr>
              <m:t>SA</m:t>
            </m:r>
          </m:sub>
        </m:sSub>
        <m:r>
          <m:t>​</m:t>
        </m:r>
        <m:r>
          <m:rPr>
            <m:sty m:val="p"/>
          </m:rPr>
          <m:t>=</m:t>
        </m:r>
        <m:r>
          <m:t>​</m:t>
        </m:r>
        <m:r>
          <m:t>0.15</m:t>
        </m:r>
      </m:oMath>
      <w:r>
        <w:t xml:space="preserve">) is the worst condition in either matrix at top-1 composite 0.698, justifying the production setting</w:t>
      </w:r>
      <w:r>
        <w:t xml:space="preserve"> </w:t>
      </w:r>
      <m:oMath>
        <m:sSub>
          <m:e>
            <m:r>
              <m:t>s</m:t>
            </m:r>
          </m:e>
          <m:sub>
            <m:r>
              <m:rPr>
                <m:nor/>
                <m:sty m:val="p"/>
              </m:rPr>
              <m:t>SA</m:t>
            </m:r>
          </m:sub>
        </m:sSub>
        <m:r>
          <m:t>​</m:t>
        </m:r>
        <m:r>
          <m:rPr>
            <m:sty m:val="p"/>
          </m:rPr>
          <m:t>=</m:t>
        </m:r>
        <m:r>
          <m:t>​</m:t>
        </m:r>
        <m:r>
          <m:t>0</m:t>
        </m:r>
      </m:oMath>
      <w:r>
        <w:t xml:space="preserve"> </w:t>
      </w:r>
      <w:r>
        <w:t xml:space="preserve">(§4.9). The 6-seed unguided pool gives the tightest mean (0.451</w:t>
      </w:r>
      <w:r>
        <w:t xml:space="preserve"> </w:t>
      </w:r>
      <m:oMath>
        <m:r>
          <m:rPr>
            <m:sty m:val="p"/>
          </m:rPr>
          <m:t>±</m:t>
        </m:r>
      </m:oMath>
      <w:r>
        <w:t xml:space="preserve"> </w:t>
      </w:r>
      <w:r>
        <w:t xml:space="preserve">0.126).</w:t>
      </w:r>
    </w:p>
    <w:p>
      <w:pPr>
        <w:pStyle w:val="BodyText"/>
        <w:jc w:val="both"/>
        <w:keepNext w:val="0"/>
        <w:keepLines w:val="0"/>
        <w:widowControl w:val="1"/>
      </w:pPr>
      <w:r>
        <w:rPr>
          <w:b/>
          <w:bCs/>
        </w:rPr>
        <w:t xml:space="preserve">Per-head guidance grid and hazard-head as a soft filter.</w:t>
      </w:r>
      <w:r>
        <w:t xml:space="preserve"> </w:t>
      </w:r>
      <w:r>
        <w:t xml:space="preserve">A 12-cell head-state grid over (</w:t>
      </w:r>
      <m:oMath>
        <m:sSub>
          <m:e>
            <m:r>
              <m:t>s</m:t>
            </m:r>
          </m:e>
          <m:sub>
            <m:r>
              <m:rPr>
                <m:nor/>
                <m:sty m:val="p"/>
              </m:rPr>
              <m:t>viab</m:t>
            </m:r>
          </m:sub>
        </m:sSub>
      </m:oMath>
      <w:r>
        <w:t xml:space="preserve">,</w:t>
      </w:r>
      <w:r>
        <w:t xml:space="preserve"> </w:t>
      </w:r>
      <m:oMath>
        <m:sSub>
          <m:e>
            <m:r>
              <m:t>s</m:t>
            </m:r>
          </m:e>
          <m:sub>
            <m:r>
              <m:rPr>
                <m:nor/>
                <m:sty m:val="p"/>
              </m:rPr>
              <m:t>hazard</m:t>
            </m:r>
          </m:sub>
        </m:sSub>
      </m:oMath>
      <w:r>
        <w:t xml:space="preserve">) collapses to exactly four distinct outputs organised by the 2×2 head-on/off combinations (cluster D, viab+hazard, is the production default). The full md5 cluster table, the SC-gradient sweep, and the heuristic-vs-literature sensitivity-head ablation are in</w:t>
      </w:r>
      <w:r>
        <w:t xml:space="preserve"> </w:t>
      </w:r>
      <w:hyperlink w:anchor="sec-app">
        <w:r>
          <w:rPr>
            <w:rStyle w:val="Hyperlink"/>
          </w:rPr>
          <w:t xml:space="preserve">Appendix D.6</w:t>
        </w:r>
      </w:hyperlink>
      <w:r>
        <w:t xml:space="preserve">. As a complementary ablation on the same axis, the §4.7 hazard head applied as a soft re-rank weight on the merged top-100 recovers all 23 chemist-SMARTS rejects and exposes 66 additional candidates on which the SMARTS catalog is silent (5-fold held-out AUROC</w:t>
      </w:r>
      <w:r>
        <w:t xml:space="preserve"> </w:t>
      </w:r>
      <m:oMath>
        <m:r>
          <m:rPr>
            <m:sty m:val="p"/>
          </m:rPr>
          <m:t>=</m:t>
        </m:r>
      </m:oMath>
      <w:r>
        <w:t xml:space="preserve"> </w:t>
      </w:r>
      <w:r>
        <w:t xml:space="preserve">0.91</w:t>
      </w:r>
      <w:r>
        <w:t xml:space="preserve"> </w:t>
      </w:r>
      <m:oMath>
        <m:r>
          <m:rPr>
            <m:sty m:val="p"/>
          </m:rPr>
          <m:t>±</m:t>
        </m:r>
      </m:oMath>
      <w:r>
        <w:t xml:space="preserve"> </w:t>
      </w:r>
      <w:r>
        <w:t xml:space="preserve">0.05; threshold sweep and false-positive analysis in Appendix D.12).</w:t>
      </w:r>
    </w:p>
    <w:bookmarkEnd w:id="43"/>
    <w:bookmarkStart w:id="44" w:name="f.5-m7-five-lane-100k-pool-run"/>
    <w:p>
      <w:pPr>
        <w:pStyle w:val="Heading4"/>
        <w:keepNext/>
        <w:keepLines/>
        <w:widowControl w:val="1"/>
      </w:pPr>
      <w:r>
        <w:t xml:space="preserve">F.5 M7 five-lane 100k-pool run</w:t>
      </w:r>
    </w:p>
    <w:p>
      <w:pPr>
        <w:pStyle w:val="FirstParagraph"/>
        <w:jc w:val="both"/>
        <w:keepNext w:val="0"/>
        <w:keepLines w:val="0"/>
        <w:widowControl w:val="1"/>
      </w:pPr>
      <w: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BodyText"/>
        <w:jc w:val="both"/>
        <w:keepNext w:val="0"/>
        <w:keepLines w:val="0"/>
        <w:widowControl w:val="1"/>
      </w:pPr>
      <w:r>
        <w:rPr>
          <w:b/>
          <w:bCs/>
        </w:rPr>
        <w:t xml:space="preserve">Table F.5.</w:t>
      </w:r>
      <w:r>
        <w:t xml:space="preserve"> </w:t>
      </w:r>
      <w: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Run</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n_pass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Max</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Scaffolds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IntDiv</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Single-lane 40k (§F.3)</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966</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2.4 %</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9.51</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M7 five-lane 100k</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100 000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4 639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4.6 %</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9.47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9.79</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9.03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24</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0.81</w:t>
            </w:r>
          </w:p>
        </w:tc>
      </w:tr>
    </w:tbl>
    <w:p>
      <w:pPr>
        <w:pStyle w:val="BodyText"/>
        <w:spacing w:before="160"/>
        <w:jc w:val="both"/>
        <w:keepNext w:val="0"/>
        <w:keepLines w:val="0"/>
        <w:widowControl w:val="1"/>
      </w:pPr>
      <w:r>
        <w:t xml:space="preserve">The five-lane fusion nearly doubles the keep rate (4.6 % vs 2.4 %, 1.92×) and quintuples the absolute number of passing candidates (4 639 vs 966), consistent with each lane surface-sampling a distinct region of the high-density manifold. Top-1</w:t>
      </w:r>
      <w:r>
        <w:t xml:space="preserve"> </w:t>
      </w:r>
      <m:oMath>
        <m:r>
          <m:t>D</m:t>
        </m:r>
      </m:oMath>
      <w:r>
        <w:t xml:space="preserve"> </w:t>
      </w:r>
      <w:r>
        <w:t xml:space="preserve">is stable at 9.47 km/s (within 0.04 km/s of the single-lane best), while max</w:t>
      </w:r>
      <w:r>
        <w:t xml:space="preserve"> </w:t>
      </w:r>
      <m:oMath>
        <m:r>
          <m:t>D</m:t>
        </m:r>
      </m:oMath>
      <w:r>
        <w:t xml:space="preserve"> </w:t>
      </w:r>
      <w:r>
        <w:t xml:space="preserve">rises to 9.79 km/s. The fused top-200 spans 24 distinct Bemis–Murcko scaffolds at internal diversity 0.81, a meaningful improvement over the single-lane seven-scaffold top-100. The top-1 SMILES is</w:t>
      </w:r>
      <w:r>
        <w:t xml:space="preserve"> </w:t>
      </w:r>
      <w:r>
        <w:rPr>
          <w:rStyle w:val="VerbatimChar"/>
        </w:rPr>
        <w:t xml:space="preserve">O=[N+]([O-])OC1C([N+](=O)[O-])=C1[N+](=O)[O-]</w:t>
      </w:r>
      <w:r>
        <w:t xml:space="preserve"> </w:t>
      </w:r>
      <w:r>
        <w:t xml:space="preserve">(1,2,3-trinitrocyclopropene), a compact ring with three nitro groups and no prior labelled-master entry.</w:t>
      </w:r>
    </w:p>
    <w:bookmarkEnd w:id="44"/>
    <w:bookmarkStart w:id="45" w:name="Xbb5eec533b9640cf8a759e333f6d84316491854"/>
    <w:p>
      <w:pPr>
        <w:pStyle w:val="Heading4"/>
        <w:keepNext/>
        <w:keepLines/>
        <w:widowControl w:val="1"/>
      </w:pPr>
      <w:r>
        <w:t xml:space="preserve">F.6 Tier-gate ablation (perf head trained without label-trust masking)</w:t>
      </w:r>
    </w:p>
    <w:p>
      <w:pPr>
        <w:pStyle w:val="FirstParagraph"/>
        <w:jc w:val="both"/>
        <w:keepNext w:val="0"/>
        <w:keepLines w:val="0"/>
        <w:widowControl w:val="1"/>
      </w:pPr>
      <w:r>
        <w:t xml:space="preserve">The tier-gated training recipe (§4.4, §4.6) masks the performance head from Tier-C/D rows during training, preventing low-confidence empirical-formula and 3D-CNN surrogate labels from driving the performance gradient. To quantify this design choice, the score model was retrained with</w:t>
      </w:r>
      <w:r>
        <w:t xml:space="preserve"> </w:t>
      </w:r>
      <w:r>
        <w:rPr>
          <w:rStyle w:val="VerbatimChar"/>
        </w:rPr>
        <w:t xml:space="preserve">--no_tier_gate</w:t>
      </w:r>
      <w:r>
        <w:t xml:space="preserve">: the performance head trains on all rows, including noisy Tier-C/D labels. The modified model then guided 20 000 samples through the identical DDIM sampler.</w:t>
      </w:r>
    </w:p>
    <w:p>
      <w:pPr>
        <w:pStyle w:val="BodyText"/>
        <w:jc w:val="both"/>
        <w:keepNext w:val="0"/>
        <w:keepLines w:val="0"/>
        <w:widowControl w:val="1"/>
      </w:pPr>
      <w:r>
        <w:rPr>
          <w:b/>
          <w:bCs/>
        </w:rPr>
        <w:t xml:space="preserve">Table F.6.</w:t>
      </w:r>
      <w:r>
        <w:t xml:space="preserve"> </w:t>
      </w:r>
      <w: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Training</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n_raw</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n_feasible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Keep rate</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sSub>
                <m:e>
                  <m:r>
                    <m:t>f</m:t>
                  </m:r>
                </m:e>
                <m:sub>
                  <m:r>
                    <m:t>N</m:t>
                  </m:r>
                </m:sub>
              </m:sSub>
            </m:oMath>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single" w:sz="4" w:color="D9E1E8"/>
              <w:right w:val="single" w:sz="4" w:color="D9E1E8"/>
              <w:top w:val="single" w:sz="4" w:color="D9E1E8"/>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Best val loss</w:t>
            </w:r>
          </w:p>
        </w:tc>
      </w:tr>
      <w:tr>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Production (tier-gate on, §4.4)</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see §F.3 (Uni-Mol-ranked)</w:t>
            </w:r>
          </w:p>
        </w:tc>
        <w:tc>
          <w:tcPr>
            <w:tcBorders>
              <w:left w:val="single" w:sz="4" w:color="D9E1E8"/>
              <w:right w:val="single" w:sz="4" w:color="D9E1E8"/>
              <w:top w:val="single" w:sz="4" w:color="D9E1E8"/>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1.089</w:t>
            </w:r>
          </w:p>
        </w:tc>
      </w:tr>
      <w:tr>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No tier-gate</w:t>
            </w:r>
            <w:r>
              <w:rPr>
                <w:rFonts w:ascii="Times New Roman" w:hAnsi="Times New Roman"/>
                <w:sz w:val="20"/>
              </w:rPr>
              <w:t xml:space="preserve"> </w:t>
            </w:r>
            <w:r>
              <w:rPr>
                <w:rFonts w:ascii="Times New Roman" w:hAnsi="Times New Roman"/>
                <w:sz w:val="20"/>
              </w:rPr>
              <w:t xml:space="preserve">(ablation)</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20 000</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10 773</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53.9 %</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0.667</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[N+][N+]([O-])NC(=N)N[N+]=O</w:t>
            </w:r>
          </w:p>
        </w:tc>
        <w:tc>
          <w:tcPr>
            <w:tcBorders>
              <w:left w:val="single" w:sz="4" w:color="D9E1E8"/>
              <w:right w:val="single" w:sz="4" w:color="D9E1E8"/>
              <w:top w:val="single" w:sz="4" w:color="D9E1E8"/>
              <w:bottom w:val="nil"/>
            </w:tcBorders>
          </w:tcPr>
          <w:p>
            <w:pPr>
              <w:pStyle w:val="Compact"/>
              <w:spacing w:before="0" w:after="20" w:line="240" w:lineRule="auto"/>
              <w:jc w:val="center"/>
              <w:keepNext w:val="0"/>
              <w:keepLines/>
              <w:widowControl w:val="1"/>
            </w:pPr>
            <w:r>
              <w:rPr>
                <w:rFonts w:ascii="Times New Roman" w:hAnsi="Times New Roman"/>
                <w:sz w:val="20"/>
              </w:rPr>
              <w:t xml:space="preserve">1.178</w:t>
            </w:r>
          </w:p>
        </w:tc>
      </w:tr>
    </w:tbl>
    <w:p>
      <w:pPr>
        <w:pStyle w:val="BodyText"/>
        <w:spacing w:before="160"/>
        <w:jc w:val="both"/>
        <w:keepNext w:val="0"/>
        <w:keepLines w:val="0"/>
        <w:widowControl w:val="1"/>
      </w:pPr>
      <w: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t xml:space="preserve"> </w:t>
      </w:r>
      <m:oMath>
        <m:sSub>
          <m:e>
            <m:r>
              <m:t>f</m:t>
            </m:r>
          </m:e>
          <m:sub>
            <m:r>
              <m:t>N</m:t>
            </m:r>
          </m:sub>
        </m:sSub>
      </m:oMath>
      <w:r>
        <w:t xml:space="preserve"> </w:t>
      </w:r>
      <w:r>
        <w:t xml:space="preserve">by atom count, not by energetic architecture). The validation loss rises by 0.089 absolute, consistent with the perf head being trained on noisier targets.</w:t>
      </w:r>
    </w:p>
    <w:bookmarkEnd w:id="45"/>
    <w:bookmarkEnd w:id="46"/>
    <w:bookmarkEnd w:id="47"/>
    <w:bookmarkStart w:id="122" w:name="sec-refs"/>
    <w:p>
      <w:pPr>
        <w:pStyle w:val="ReferencesHeading"/>
        <w:jc w:val="left"/>
        <w:keepNext/>
        <w:keepLines/>
        <w:widowControl w:val="1"/>
      </w:pPr>
      <w:r>
        <w:t xml:space="preserve">References</w:t>
      </w:r>
    </w:p>
    <w:p>
      <w:pPr>
        <w:pStyle w:val="ReferenceEntry"/>
        <w:numPr>
          <w:ilvl w:val="0"/>
          <w:numId w:val="1004"/>
        </w:numPr>
        <w:jc w:val="left"/>
        <w:keepNext w:val="0"/>
        <w:keepLines w:val="0"/>
        <w:widowControl w:val="1"/>
      </w:pPr>
      <w:bookmarkStart w:id="48" w:name="ref-eckmann2022limo"/>
      <w:r>
        <w:t xml:space="preserve">Eckmann, P., Sun, K., Zhao, B., Feng, M., Gilson, M. K., &amp; Yu, R. (2022). LIMO: Latent Inceptionism for Targeted Molecule Generation.</w:t>
      </w:r>
      <w:r>
        <w:t xml:space="preserve"> </w:t>
      </w:r>
      <w:r>
        <w:rPr>
          <w:i/>
          <w:iCs/>
        </w:rPr>
        <w:t xml:space="preserve">ICML 2022</w:t>
      </w:r>
      <w:r>
        <w:t xml:space="preserve">. arXiv:2206.09010.</w:t>
      </w:r>
      <w:bookmarkEnd w:id="48"/>
    </w:p>
    <w:p>
      <w:pPr>
        <w:pStyle w:val="ReferenceEntry"/>
        <w:numPr>
          <w:ilvl w:val="0"/>
          <w:numId w:val="1004"/>
        </w:numPr>
        <w:jc w:val="left"/>
        <w:keepNext w:val="0"/>
        <w:keepLines w:val="0"/>
        <w:widowControl w:val="1"/>
      </w:pPr>
      <w:bookmarkStart w:id="49" w:name="ref-gomez2018automatic"/>
      <w:r>
        <w:t xml:space="preserve">Gómez-Bombarelli, R. et al. (2018). Automatic Chemical Design Using a Data-Driven Continuous Representation of Molecules.</w:t>
      </w:r>
      <w:r>
        <w:t xml:space="preserve"> </w:t>
      </w:r>
      <w:r>
        <w:rPr>
          <w:i/>
          <w:iCs/>
        </w:rPr>
        <w:t xml:space="preserve">ACS Central Science 4(2)</w:t>
      </w:r>
      <w:r>
        <w:t xml:space="preserve">:268–276. doi:10.1021/acscentsci.7b00572.</w:t>
      </w:r>
      <w:bookmarkEnd w:id="49"/>
    </w:p>
    <w:p>
      <w:pPr>
        <w:pStyle w:val="ReferenceEntry"/>
        <w:numPr>
          <w:ilvl w:val="0"/>
          <w:numId w:val="1004"/>
        </w:numPr>
        <w:jc w:val="left"/>
        <w:keepNext w:val="0"/>
        <w:keepLines w:val="0"/>
        <w:widowControl w:val="1"/>
      </w:pPr>
      <w:bookmarkStart w:id="50" w:name="ref-jin2018junction"/>
      <w:r>
        <w:t xml:space="preserve">Jin, W., Barzilay, R., &amp; Jaakkola, T. (2018). Junction Tree Variational Autoencoder for Molecular Graph Generation.</w:t>
      </w:r>
      <w:r>
        <w:t xml:space="preserve"> </w:t>
      </w:r>
      <w:r>
        <w:rPr>
          <w:i/>
          <w:iCs/>
        </w:rPr>
        <w:t xml:space="preserve">ICML 2018</w:t>
      </w:r>
      <w:r>
        <w:t xml:space="preserve">. arXiv:1802.04364.</w:t>
      </w:r>
      <w:bookmarkEnd w:id="50"/>
    </w:p>
    <w:p>
      <w:pPr>
        <w:pStyle w:val="ReferenceEntry"/>
        <w:numPr>
          <w:ilvl w:val="0"/>
          <w:numId w:val="1004"/>
        </w:numPr>
        <w:jc w:val="left"/>
        <w:keepNext w:val="0"/>
        <w:keepLines w:val="0"/>
        <w:widowControl w:val="1"/>
      </w:pPr>
      <w:bookmarkStart w:id="51" w:name="ref-reidenbach2023molmim"/>
      <w:r>
        <w:t xml:space="preserve">Reidenbach, D., Livne, M., Ilango, R. K., Gill, M., &amp; Israeli, J. (2023). MolMIM: A Molecular Language Model for Property-Guided Molecule Generation via Mutual Information Machines. (MLDD Workshop, ICLR 2023; arXiv:2208.09016).</w:t>
      </w:r>
      <w:bookmarkEnd w:id="51"/>
    </w:p>
    <w:p>
      <w:pPr>
        <w:pStyle w:val="ReferenceEntry"/>
        <w:numPr>
          <w:ilvl w:val="0"/>
          <w:numId w:val="1004"/>
        </w:numPr>
        <w:jc w:val="left"/>
        <w:keepNext w:val="0"/>
        <w:keepLines w:val="0"/>
        <w:widowControl w:val="1"/>
      </w:pPr>
      <w:bookmarkStart w:id="52" w:name="ref-ross2022molformer"/>
      <w:r>
        <w:t xml:space="preserve">Ross, J. et al. (2022). Large-Scale Chemical Language Representations Capture Molecular Structure and Properties.</w:t>
      </w:r>
      <w:r>
        <w:t xml:space="preserve"> </w:t>
      </w:r>
      <w:r>
        <w:rPr>
          <w:i/>
          <w:iCs/>
        </w:rPr>
        <w:t xml:space="preserve">Nature Machine Intelligence 4</w:t>
      </w:r>
      <w:r>
        <w:t xml:space="preserve">:1256–1264. doi:10.1038/s42256-022-00580-7.</w:t>
      </w:r>
      <w:bookmarkEnd w:id="52"/>
    </w:p>
    <w:p>
      <w:pPr>
        <w:pStyle w:val="ReferenceEntry"/>
        <w:numPr>
          <w:ilvl w:val="0"/>
          <w:numId w:val="1004"/>
        </w:numPr>
        <w:jc w:val="left"/>
        <w:keepNext w:val="0"/>
        <w:keepLines w:val="0"/>
        <w:widowControl w:val="1"/>
      </w:pPr>
      <w:bookmarkStart w:id="53" w:name="ref-bengio2021gflownet"/>
      <w:r>
        <w:t xml:space="preserve">Bengio, E., Jain, M., Korablyov, M., Precup, D., &amp; Bengio, Y. (2021). Flow Network Based Generative Models for Non-Iterative Diverse Candidate Generation.</w:t>
      </w:r>
      <w:r>
        <w:t xml:space="preserve"> </w:t>
      </w:r>
      <w:r>
        <w:rPr>
          <w:i/>
          <w:iCs/>
        </w:rPr>
        <w:t xml:space="preserve">NeurIPS 2021</w:t>
      </w:r>
      <w:r>
        <w:t xml:space="preserve">. arXiv:2106.04399.</w:t>
      </w:r>
      <w:bookmarkEnd w:id="53"/>
    </w:p>
    <w:p>
      <w:pPr>
        <w:pStyle w:val="ReferenceEntry"/>
        <w:numPr>
          <w:ilvl w:val="0"/>
          <w:numId w:val="1004"/>
        </w:numPr>
        <w:jc w:val="left"/>
        <w:keepNext w:val="0"/>
        <w:keepLines w:val="0"/>
        <w:widowControl w:val="1"/>
      </w:pPr>
      <w:bookmarkStart w:id="54" w:name="ref-hoogeboom2022edm"/>
      <w:r>
        <w:t xml:space="preserve">Hoogeboom, E., Garcia Satorras, V., Vignac, C., &amp; Welling, M. (2022). Equivariant Diffusion for Molecule Generation in 3D.</w:t>
      </w:r>
      <w:r>
        <w:t xml:space="preserve"> </w:t>
      </w:r>
      <w:r>
        <w:rPr>
          <w:i/>
          <w:iCs/>
        </w:rPr>
        <w:t xml:space="preserve">ICML 2022</w:t>
      </w:r>
      <w:r>
        <w:t xml:space="preserve">. arXiv:2203.17003.</w:t>
      </w:r>
      <w:bookmarkEnd w:id="54"/>
    </w:p>
    <w:p>
      <w:pPr>
        <w:pStyle w:val="ReferenceEntry"/>
        <w:numPr>
          <w:ilvl w:val="0"/>
          <w:numId w:val="1004"/>
        </w:numPr>
        <w:jc w:val="left"/>
        <w:keepNext w:val="0"/>
        <w:keepLines w:val="0"/>
        <w:widowControl w:val="1"/>
      </w:pPr>
      <w:bookmarkStart w:id="55" w:name="ref-vignac2023digress"/>
      <w:r>
        <w:t xml:space="preserve">Vignac, C. et al. (2023). DiGress: Discrete Denoising Diffusion for Graph Generation.</w:t>
      </w:r>
      <w:r>
        <w:t xml:space="preserve"> </w:t>
      </w:r>
      <w:r>
        <w:rPr>
          <w:i/>
          <w:iCs/>
        </w:rPr>
        <w:t xml:space="preserve">ICLR 2023</w:t>
      </w:r>
      <w:r>
        <w:t xml:space="preserve">. arXiv:2209.14734.</w:t>
      </w:r>
      <w:bookmarkEnd w:id="55"/>
    </w:p>
    <w:p>
      <w:pPr>
        <w:pStyle w:val="ReferenceEntry"/>
        <w:numPr>
          <w:ilvl w:val="0"/>
          <w:numId w:val="1004"/>
        </w:numPr>
        <w:jc w:val="left"/>
        <w:keepNext w:val="0"/>
        <w:keepLines w:val="0"/>
        <w:widowControl w:val="1"/>
      </w:pPr>
      <w:bookmarkStart w:id="56" w:name="ref-irwin2022chemformer"/>
      <w:r>
        <w:t xml:space="preserve">Irwin, R., Dimitriadis, S., He, J., &amp; Bjerrum, E. J. (2022). Chemformer: A Pre-Trained Transformer for Computational Chemistry.</w:t>
      </w:r>
      <w:r>
        <w:t xml:space="preserve"> </w:t>
      </w:r>
      <w:r>
        <w:rPr>
          <w:i/>
          <w:iCs/>
        </w:rPr>
        <w:t xml:space="preserve">Mach. Learn.: Sci. Tech. 3</w:t>
      </w:r>
      <w:r>
        <w:t xml:space="preserve">:015022. doi:10.1088/2632-2153/ac3ffb.</w:t>
      </w:r>
      <w:bookmarkEnd w:id="56"/>
    </w:p>
    <w:p>
      <w:pPr>
        <w:pStyle w:val="ReferenceEntry"/>
        <w:numPr>
          <w:ilvl w:val="0"/>
          <w:numId w:val="1004"/>
        </w:numPr>
        <w:jc w:val="left"/>
        <w:keepNext w:val="0"/>
        <w:keepLines w:val="0"/>
        <w:widowControl w:val="1"/>
      </w:pPr>
      <w:bookmarkStart w:id="57" w:name="ref-peng2023moldiff"/>
      <w:r>
        <w:t xml:space="preserve">Peng, X., Guan, J., Liu, Q., &amp; Ma, J. (2023). MolDiff: Addressing the Atom-Bond Inconsistency Problem in 3D Molecule Diffusion Generation.</w:t>
      </w:r>
      <w:r>
        <w:t xml:space="preserve"> </w:t>
      </w:r>
      <w:r>
        <w:rPr>
          <w:i/>
          <w:iCs/>
        </w:rPr>
        <w:t xml:space="preserve">ICML 2023</w:t>
      </w:r>
      <w:r>
        <w:t xml:space="preserve">. arXiv:2305.07508.</w:t>
      </w:r>
      <w:bookmarkEnd w:id="57"/>
    </w:p>
    <w:p>
      <w:pPr>
        <w:pStyle w:val="ReferenceEntry"/>
        <w:numPr>
          <w:ilvl w:val="0"/>
          <w:numId w:val="1004"/>
        </w:numPr>
        <w:jc w:val="left"/>
        <w:keepNext w:val="0"/>
        <w:keepLines w:val="0"/>
        <w:widowControl w:val="1"/>
      </w:pPr>
      <w:bookmarkStart w:id="58" w:name="ref-mathieu2017sensitivity"/>
      <w:r>
        <w:t xml:space="preserve">Mathieu, D. (2017). Sensitivity of Energetic Materials: Theoretical Relationships to Detonation Performance and Molecular Structure.</w:t>
      </w:r>
      <w:r>
        <w:t xml:space="preserve"> </w:t>
      </w:r>
      <w:r>
        <w:rPr>
          <w:i/>
          <w:iCs/>
        </w:rPr>
        <w:t xml:space="preserve">Ind. Eng. Chem. Res. 56(31)</w:t>
      </w:r>
      <w:r>
        <w:t xml:space="preserve">:8191–8201. doi:10.1021/acs.iecr.7b02021.</w:t>
      </w:r>
      <w:bookmarkEnd w:id="58"/>
    </w:p>
    <w:p>
      <w:pPr>
        <w:pStyle w:val="ReferenceEntry"/>
        <w:numPr>
          <w:ilvl w:val="0"/>
          <w:numId w:val="1004"/>
        </w:numPr>
        <w:jc w:val="left"/>
        <w:keepNext w:val="0"/>
        <w:keepLines w:val="0"/>
        <w:widowControl w:val="1"/>
      </w:pPr>
      <w:bookmarkStart w:id="60" w:name="ref-daylight-smarts"/>
      <w:r>
        <w:t xml:space="preserve">Daylight Chemical Information Systems. (2007). SMARTS: A Language for Describing Molecular Patterns. Daylight Theory Manual, Aliso Viejo, CA.</w:t>
      </w:r>
      <w:r>
        <w:t xml:space="preserve"> </w:t>
      </w:r>
      <w:hyperlink r:id="rId59">
        <w:r>
          <w:rPr>
            <w:rStyle w:val="Hyperlink"/>
          </w:rPr>
          <w:t xml:space="preserve">daylight.com/dayhtml/doc/theory/theory.smarts.html</w:t>
        </w:r>
      </w:hyperlink>
      <w:r>
        <w:t xml:space="preserve">. SMARTS = SMILES Arbitrary Target Specification: a pattern language extending SMILES that matches molecular substructures, used by RDKit and other cheminformatics toolkits to evaluate hard-reject catalogs (this work, §4.7).</w:t>
      </w:r>
      <w:bookmarkEnd w:id="60"/>
    </w:p>
    <w:p>
      <w:pPr>
        <w:pStyle w:val="ReferenceEntry"/>
        <w:numPr>
          <w:ilvl w:val="0"/>
          <w:numId w:val="1004"/>
        </w:numPr>
        <w:jc w:val="left"/>
        <w:keepNext w:val="0"/>
        <w:keepLines w:val="0"/>
        <w:widowControl w:val="1"/>
      </w:pPr>
      <w:bookmarkStart w:id="61" w:name="ref-politzer2014some"/>
      <w:r>
        <w:t xml:space="preserve">Politzer, P., &amp; Murray, J. S. (2014). Some Perspectives on Estimating Detonation Properties of C, H, N, O Compounds.</w:t>
      </w:r>
      <w:r>
        <w:t xml:space="preserve"> </w:t>
      </w:r>
      <w:r>
        <w:rPr>
          <w:i/>
          <w:iCs/>
        </w:rPr>
        <w:t xml:space="preserve">Cent. Eur. J. Energ. Mater. 11(4)</w:t>
      </w:r>
      <w:r>
        <w:t xml:space="preserve">:459–474.</w:t>
      </w:r>
      <w:bookmarkEnd w:id="61"/>
    </w:p>
    <w:p>
      <w:pPr>
        <w:pStyle w:val="ReferenceEntry"/>
        <w:numPr>
          <w:ilvl w:val="0"/>
          <w:numId w:val="1004"/>
        </w:numPr>
        <w:jc w:val="left"/>
        <w:keepNext w:val="0"/>
        <w:keepLines w:val="0"/>
        <w:widowControl w:val="1"/>
      </w:pPr>
      <w:bookmarkStart w:id="62" w:name="ref-suceska2018explo5"/>
      <w: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62"/>
    </w:p>
    <w:p>
      <w:pPr>
        <w:pStyle w:val="ReferenceEntry"/>
        <w:numPr>
          <w:ilvl w:val="0"/>
          <w:numId w:val="1004"/>
        </w:numPr>
        <w:jc w:val="left"/>
        <w:keepNext w:val="0"/>
        <w:keepLines w:val="0"/>
        <w:widowControl w:val="1"/>
      </w:pPr>
      <w:bookmarkStart w:id="63" w:name="ref-fried2014cheetah"/>
      <w:r>
        <w:t xml:space="preserve">Fried, L. E., Howard, W. M., Souers, P. C., &amp; Vitello, P. A. (2014). Cheetah 7.0 User's Manual. Lawrence Livermore National Laboratory technical report LLNL-SM-664002. Thermochemical-equilibrium detonation code with JCZ3 / BKWS covolume EOS.</w:t>
      </w:r>
      <w:bookmarkEnd w:id="63"/>
    </w:p>
    <w:p>
      <w:pPr>
        <w:pStyle w:val="ReferenceEntry"/>
        <w:numPr>
          <w:ilvl w:val="0"/>
          <w:numId w:val="1004"/>
        </w:numPr>
        <w:jc w:val="left"/>
        <w:keepNext w:val="0"/>
        <w:keepLines w:val="0"/>
        <w:widowControl w:val="1"/>
      </w:pPr>
      <w:bookmarkStart w:id="64" w:name="ref-kamlet1968detonation"/>
      <w:r>
        <w:t xml:space="preserve">Kamlet, M. J., &amp; Jacobs, S. J. (1968). Chemistry of Detonations. I. A Simple Method for Calculating Detonation Properties of C-H-N-O Explosives.</w:t>
      </w:r>
      <w:r>
        <w:t xml:space="preserve"> </w:t>
      </w:r>
      <w:r>
        <w:rPr>
          <w:i/>
          <w:iCs/>
        </w:rPr>
        <w:t xml:space="preserve">J. Chem. Phys. 48</w:t>
      </w:r>
      <w:r>
        <w:t xml:space="preserve">:23–55. doi:10.1063/1.1667908.</w:t>
      </w:r>
      <w:bookmarkEnd w:id="64"/>
    </w:p>
    <w:p>
      <w:pPr>
        <w:pStyle w:val="ReferenceEntry"/>
        <w:numPr>
          <w:ilvl w:val="0"/>
          <w:numId w:val="1004"/>
        </w:numPr>
        <w:jc w:val="left"/>
        <w:keepNext w:val="0"/>
        <w:keepLines w:val="0"/>
        <w:widowControl w:val="1"/>
      </w:pPr>
      <w:bookmarkStart w:id="65" w:name="ref-elton2018applying"/>
      <w:r>
        <w:t xml:space="preserve">Elton, D. C., Boukouvalas, Z., Butrico, M. S., Fuge, M. D., &amp; Chung, P. W. (2018). Applying Machine Learning Techniques to Predict the Properties of Energetic Materials.</w:t>
      </w:r>
      <w:r>
        <w:t xml:space="preserve"> </w:t>
      </w:r>
      <w:r>
        <w:rPr>
          <w:i/>
          <w:iCs/>
        </w:rPr>
        <w:t xml:space="preserve">Sci. Rep. 8</w:t>
      </w:r>
      <w:r>
        <w:t xml:space="preserve">:9059.</w:t>
      </w:r>
      <w:bookmarkEnd w:id="65"/>
    </w:p>
    <w:p>
      <w:pPr>
        <w:pStyle w:val="ReferenceEntry"/>
        <w:numPr>
          <w:ilvl w:val="0"/>
          <w:numId w:val="1004"/>
        </w:numPr>
        <w:jc w:val="left"/>
        <w:keepNext w:val="0"/>
        <w:keepLines w:val="0"/>
        <w:widowControl w:val="1"/>
      </w:pPr>
      <w:bookmarkStart w:id="66" w:name="ref-casey2020prediction"/>
      <w:r>
        <w:t xml:space="preserve">Casey, A. D., Son, S. P., Bilionis, I., &amp; Barnes, B. C. (2020). Prediction of Energetic Material Properties from Electronic Structure Using 3D Convolutional Neural Networks.</w:t>
      </w:r>
      <w:r>
        <w:t xml:space="preserve"> </w:t>
      </w:r>
      <w:r>
        <w:rPr>
          <w:i/>
          <w:iCs/>
        </w:rPr>
        <w:t xml:space="preserve">J. Chem. Inf. Model. 60(10)</w:t>
      </w:r>
      <w:r>
        <w:t xml:space="preserve">:4457–4473. doi:10.1021/acs.jcim.0c00259.</w:t>
      </w:r>
      <w:bookmarkEnd w:id="66"/>
    </w:p>
    <w:p>
      <w:pPr>
        <w:pStyle w:val="ReferenceEntry"/>
        <w:numPr>
          <w:ilvl w:val="0"/>
          <w:numId w:val="1004"/>
        </w:numPr>
        <w:jc w:val="left"/>
        <w:keepNext w:val="0"/>
        <w:keepLines w:val="0"/>
        <w:widowControl w:val="1"/>
      </w:pPr>
      <w:bookmarkStart w:id="67" w:name="ref-zhou2023unimol"/>
      <w:r>
        <w:t xml:space="preserve">Zhou, G. et al. (2023). Uni-Mol: A Universal 3D Molecular Representation Learning Framework.</w:t>
      </w:r>
      <w:r>
        <w:t xml:space="preserve"> </w:t>
      </w:r>
      <w:r>
        <w:rPr>
          <w:i/>
          <w:iCs/>
        </w:rPr>
        <w:t xml:space="preserve">ICLR 2023</w:t>
      </w:r>
      <w:r>
        <w:t xml:space="preserve">.</w:t>
      </w:r>
      <w:bookmarkEnd w:id="67"/>
    </w:p>
    <w:p>
      <w:pPr>
        <w:pStyle w:val="ReferenceEntry"/>
        <w:numPr>
          <w:ilvl w:val="0"/>
          <w:numId w:val="1004"/>
        </w:numPr>
        <w:jc w:val="left"/>
        <w:keepNext w:val="0"/>
        <w:keepLines w:val="0"/>
        <w:widowControl w:val="1"/>
      </w:pPr>
      <w:bookmarkStart w:id="68" w:name="ref-huang2021applying"/>
      <w:r>
        <w:t xml:space="preserve">Huang, X. et al. (2021). Applying Machine Learning to Balance Performance and Stability of High Energy Density Materials.</w:t>
      </w:r>
      <w:r>
        <w:t xml:space="preserve"> </w:t>
      </w:r>
      <w:r>
        <w:rPr>
          <w:i/>
          <w:iCs/>
        </w:rPr>
        <w:t xml:space="preserve">iScience 24</w:t>
      </w:r>
      <w:r>
        <w:t xml:space="preserve">:102803.</w:t>
      </w:r>
      <w:bookmarkEnd w:id="68"/>
    </w:p>
    <w:p>
      <w:pPr>
        <w:pStyle w:val="ReferenceEntry"/>
        <w:numPr>
          <w:ilvl w:val="0"/>
          <w:numId w:val="1004"/>
        </w:numPr>
        <w:jc w:val="left"/>
        <w:keepNext w:val="0"/>
        <w:keepLines w:val="0"/>
        <w:widowControl w:val="1"/>
      </w:pPr>
      <w:bookmarkStart w:id="69" w:name="ref-herve2010"/>
      <w:r>
        <w:t xml:space="preserve">Hervé, G., Roussel, C., &amp; Graindorge, H. (2010). Selective Preparation of 3,4,5-Trinitro-1H-pyrazole: A Stable All-Carbon-Substituted Trinitro Heterocycle, and Related Trinitroisoxazole Chemistry.</w:t>
      </w:r>
      <w:r>
        <w:t xml:space="preserve"> </w:t>
      </w:r>
      <w:r>
        <w:rPr>
          <w:i/>
          <w:iCs/>
        </w:rPr>
        <w:t xml:space="preserve">Angew. Chem. Int. Ed. 49(18)</w:t>
      </w:r>
      <w:r>
        <w:t xml:space="preserve">:3177–3181. doi:10.1002/anie.200907241.</w:t>
      </w:r>
      <w:bookmarkEnd w:id="69"/>
    </w:p>
    <w:p>
      <w:pPr>
        <w:pStyle w:val="ReferenceEntry"/>
        <w:numPr>
          <w:ilvl w:val="0"/>
          <w:numId w:val="1004"/>
        </w:numPr>
        <w:jc w:val="left"/>
        <w:keepNext w:val="0"/>
        <w:keepLines w:val="0"/>
        <w:widowControl w:val="1"/>
      </w:pPr>
      <w:bookmarkStart w:id="70" w:name="ref-sabatini2018"/>
      <w:r>
        <w:t xml:space="preserve">Sabatini, J. J. (2018). A Review of Nitroisoxazole-Based Energetic Compounds.</w:t>
      </w:r>
      <w:r>
        <w:t xml:space="preserve"> </w:t>
      </w:r>
      <w:r>
        <w:rPr>
          <w:i/>
          <w:iCs/>
        </w:rPr>
        <w:t xml:space="preserve">Propellants, Explosives, Pyrotechnics 43(1)</w:t>
      </w:r>
      <w:r>
        <w:t xml:space="preserve">:28–37. doi:10.1002/prep.201700225.</w:t>
      </w:r>
      <w:bookmarkEnd w:id="70"/>
    </w:p>
    <w:p>
      <w:pPr>
        <w:pStyle w:val="ReferenceEntry"/>
        <w:numPr>
          <w:ilvl w:val="0"/>
          <w:numId w:val="1004"/>
        </w:numPr>
        <w:jc w:val="left"/>
        <w:keepNext w:val="0"/>
        <w:keepLines w:val="0"/>
        <w:widowControl w:val="1"/>
      </w:pPr>
      <w:bookmarkStart w:id="71" w:name="ref-tang2017"/>
      <w:r>
        <w:t xml:space="preserve">Tang, Y., Mitchell, L. A., Imler, G. H., Parrish, D. A., &amp; Shreeve, J. M. (2017). Ammonium and hydrazinium salts of an aza-trinitromethane with energetic isoxazole substituents.</w:t>
      </w:r>
      <w:r>
        <w:t xml:space="preserve"> </w:t>
      </w:r>
      <w:r>
        <w:rPr>
          <w:i/>
          <w:iCs/>
        </w:rPr>
        <w:t xml:space="preserve">J. Mater. Chem. A 5</w:t>
      </w:r>
      <w:r>
        <w:t xml:space="preserve">:23533–23537. doi:10.1039/C7TA08571K.</w:t>
      </w:r>
      <w:bookmarkEnd w:id="71"/>
    </w:p>
    <w:p>
      <w:pPr>
        <w:pStyle w:val="ReferenceEntry"/>
        <w:numPr>
          <w:ilvl w:val="0"/>
          <w:numId w:val="1004"/>
        </w:numPr>
        <w:jc w:val="left"/>
        <w:keepNext w:val="0"/>
        <w:keepLines w:val="0"/>
        <w:widowControl w:val="1"/>
      </w:pPr>
      <w:bookmarkStart w:id="72" w:name="ref-ho2022cfg"/>
      <w:r>
        <w:t xml:space="preserve">Ho, J., &amp; Salimans, T. (2022). Classifier-Free Diffusion Guidance. arXiv:2207.12598.</w:t>
      </w:r>
      <w:bookmarkEnd w:id="72"/>
    </w:p>
    <w:p>
      <w:pPr>
        <w:pStyle w:val="ReferenceEntry"/>
        <w:numPr>
          <w:ilvl w:val="0"/>
          <w:numId w:val="1004"/>
        </w:numPr>
        <w:jc w:val="left"/>
        <w:keepNext w:val="0"/>
        <w:keepLines w:val="0"/>
        <w:widowControl w:val="1"/>
      </w:pPr>
      <w:bookmarkStart w:id="73" w:name="ref-dhariwal2021diffusion"/>
      <w:r>
        <w:t xml:space="preserve">Dhariwal, P., &amp; Nichol, A. (2021). Diffusion Models Beat GANs on Image Synthesis.</w:t>
      </w:r>
      <w:r>
        <w:t xml:space="preserve"> </w:t>
      </w:r>
      <w:r>
        <w:rPr>
          <w:i/>
          <w:iCs/>
        </w:rPr>
        <w:t xml:space="preserve">NeurIPS 2021</w:t>
      </w:r>
      <w:r>
        <w:t xml:space="preserve">. arXiv:2105.05233.</w:t>
      </w:r>
      <w:bookmarkEnd w:id="73"/>
    </w:p>
    <w:p>
      <w:pPr>
        <w:pStyle w:val="ReferenceEntry"/>
        <w:numPr>
          <w:ilvl w:val="0"/>
          <w:numId w:val="1004"/>
        </w:numPr>
        <w:jc w:val="left"/>
        <w:keepNext w:val="0"/>
        <w:keepLines w:val="0"/>
        <w:widowControl w:val="1"/>
      </w:pPr>
      <w:bookmarkStart w:id="74" w:name="ref-song2019score"/>
      <w:r>
        <w:t xml:space="preserve">Song, Y., &amp; Ermon, S. (2019). Generative Modeling by Estimating Gradients of the Data Distribution.</w:t>
      </w:r>
      <w:r>
        <w:t xml:space="preserve"> </w:t>
      </w:r>
      <w:r>
        <w:rPr>
          <w:i/>
          <w:iCs/>
        </w:rPr>
        <w:t xml:space="preserve">NeurIPS 2019</w:t>
      </w:r>
      <w:r>
        <w:t xml:space="preserve">. arXiv:1907.05600.</w:t>
      </w:r>
      <w:bookmarkEnd w:id="74"/>
    </w:p>
    <w:p>
      <w:pPr>
        <w:pStyle w:val="ReferenceEntry"/>
        <w:numPr>
          <w:ilvl w:val="0"/>
          <w:numId w:val="1004"/>
        </w:numPr>
        <w:jc w:val="left"/>
        <w:keepNext w:val="0"/>
        <w:keepLines w:val="0"/>
        <w:widowControl w:val="1"/>
      </w:pPr>
      <w:bookmarkStart w:id="75" w:name="ref-song2021sde"/>
      <w:r>
        <w:t xml:space="preserve">Song, Y. et al. (2021). Score-Based Generative Modeling through Stochastic Differential Equations.</w:t>
      </w:r>
      <w:r>
        <w:t xml:space="preserve"> </w:t>
      </w:r>
      <w:r>
        <w:rPr>
          <w:i/>
          <w:iCs/>
        </w:rPr>
        <w:t xml:space="preserve">ICLR 2021</w:t>
      </w:r>
      <w:r>
        <w:t xml:space="preserve">. arXiv:2011.13456.</w:t>
      </w:r>
      <w:bookmarkEnd w:id="75"/>
    </w:p>
    <w:p>
      <w:pPr>
        <w:pStyle w:val="ReferenceEntry"/>
        <w:numPr>
          <w:ilvl w:val="0"/>
          <w:numId w:val="1004"/>
        </w:numPr>
        <w:jc w:val="left"/>
        <w:keepNext w:val="0"/>
        <w:keepLines w:val="0"/>
        <w:widowControl w:val="1"/>
      </w:pPr>
      <w:bookmarkStart w:id="76" w:name="ref-ho2020ddpm"/>
      <w:r>
        <w:t xml:space="preserve">Ho, J., Jain, A., &amp; Abbeel, P. (2020). Denoising Diffusion Probabilistic Models.</w:t>
      </w:r>
      <w:r>
        <w:t xml:space="preserve"> </w:t>
      </w:r>
      <w:r>
        <w:rPr>
          <w:i/>
          <w:iCs/>
        </w:rPr>
        <w:t xml:space="preserve">NeurIPS 2020</w:t>
      </w:r>
      <w:r>
        <w:t xml:space="preserve">. arXiv:2006.11239.</w:t>
      </w:r>
      <w:bookmarkEnd w:id="76"/>
    </w:p>
    <w:p>
      <w:pPr>
        <w:pStyle w:val="ReferenceEntry"/>
        <w:numPr>
          <w:ilvl w:val="0"/>
          <w:numId w:val="1004"/>
        </w:numPr>
        <w:jc w:val="left"/>
        <w:keepNext w:val="0"/>
        <w:keepLines w:val="0"/>
        <w:widowControl w:val="1"/>
      </w:pPr>
      <w:bookmarkStart w:id="77" w:name="ref-rombach2022ldm"/>
      <w:r>
        <w:t xml:space="preserve">Rombach, R., Blattmann, A., Lorenz, D., Esser, P., &amp; Ommer, B. (2022). High-Resolution Image Synthesis with Latent Diffusion Models.</w:t>
      </w:r>
      <w:r>
        <w:t xml:space="preserve"> </w:t>
      </w:r>
      <w:r>
        <w:rPr>
          <w:i/>
          <w:iCs/>
        </w:rPr>
        <w:t xml:space="preserve">CVPR 2022</w:t>
      </w:r>
      <w:r>
        <w:t xml:space="preserve">. arXiv:2112.10752.</w:t>
      </w:r>
      <w:bookmarkEnd w:id="77"/>
    </w:p>
    <w:p>
      <w:pPr>
        <w:pStyle w:val="ReferenceEntry"/>
        <w:numPr>
          <w:ilvl w:val="0"/>
          <w:numId w:val="1004"/>
        </w:numPr>
        <w:jc w:val="left"/>
        <w:keepNext w:val="0"/>
        <w:keepLines w:val="0"/>
        <w:widowControl w:val="1"/>
      </w:pPr>
      <w:bookmarkStart w:id="78" w:name="ref-krenn2020selfies"/>
      <w:r>
        <w:t xml:space="preserve">Krenn, M., Häse, F., Nigam, A., Friederich, P., &amp; Aspuru-Guzik, A. (2020). Self-Referencing Embedded Strings (SELFIES): A 100% Robust Molecular String Representation.</w:t>
      </w:r>
      <w:r>
        <w:t xml:space="preserve"> </w:t>
      </w:r>
      <w:r>
        <w:rPr>
          <w:i/>
          <w:iCs/>
        </w:rPr>
        <w:t xml:space="preserve">Mach. Learn.: Sci. Tech. 1</w:t>
      </w:r>
      <w:r>
        <w:t xml:space="preserve">:045024.</w:t>
      </w:r>
      <w:bookmarkEnd w:id="78"/>
    </w:p>
    <w:p>
      <w:pPr>
        <w:pStyle w:val="ReferenceEntry"/>
        <w:numPr>
          <w:ilvl w:val="0"/>
          <w:numId w:val="1004"/>
        </w:numPr>
        <w:jc w:val="left"/>
        <w:keepNext w:val="0"/>
        <w:keepLines w:val="0"/>
        <w:widowControl w:val="1"/>
      </w:pPr>
      <w:bookmarkStart w:id="79" w:name="ref-ertl2009sa"/>
      <w:r>
        <w:t xml:space="preserve">Ertl, P., &amp; Schuffenhauer, A. (2009). Estimation of Synthetic Accessibility Score of Drug-Like Molecules Based on Molecular Complexity and Fragment Contributions.</w:t>
      </w:r>
      <w:r>
        <w:t xml:space="preserve"> </w:t>
      </w:r>
      <w:r>
        <w:rPr>
          <w:i/>
          <w:iCs/>
        </w:rPr>
        <w:t xml:space="preserve">J. Cheminform. 1</w:t>
      </w:r>
      <w:r>
        <w:t xml:space="preserve">:8.</w:t>
      </w:r>
      <w:bookmarkEnd w:id="79"/>
    </w:p>
    <w:p>
      <w:pPr>
        <w:pStyle w:val="ReferenceEntry"/>
        <w:numPr>
          <w:ilvl w:val="0"/>
          <w:numId w:val="1004"/>
        </w:numPr>
        <w:jc w:val="left"/>
        <w:keepNext w:val="0"/>
        <w:keepLines w:val="0"/>
        <w:widowControl w:val="1"/>
      </w:pPr>
      <w:bookmarkStart w:id="80" w:name="ref-coley2018scscore"/>
      <w:r>
        <w:t xml:space="preserve">Coley, C. W., Rogers, L., Green, W. H., &amp; Jensen, K. F. (2018). SCScore: Synthetic Complexity Learned from a Reaction Corpus.</w:t>
      </w:r>
      <w:r>
        <w:t xml:space="preserve"> </w:t>
      </w:r>
      <w:r>
        <w:rPr>
          <w:i/>
          <w:iCs/>
        </w:rPr>
        <w:t xml:space="preserve">J. Chem. Inf. Model. 58(2)</w:t>
      </w:r>
      <w:r>
        <w:t xml:space="preserve">:252–261.</w:t>
      </w:r>
      <w:bookmarkEnd w:id="80"/>
    </w:p>
    <w:p>
      <w:pPr>
        <w:pStyle w:val="ReferenceEntry"/>
        <w:numPr>
          <w:ilvl w:val="0"/>
          <w:numId w:val="1004"/>
        </w:numPr>
        <w:jc w:val="left"/>
        <w:keepNext w:val="0"/>
        <w:keepLines w:val="0"/>
        <w:widowControl w:val="1"/>
      </w:pPr>
      <w:bookmarkStart w:id="81" w:name="ref-rogers1960computer"/>
      <w:r>
        <w:t xml:space="preserve">Rogers, D. J., &amp; Tanimoto, T. T. (1960). A Computer Program for Classifying Plants.</w:t>
      </w:r>
      <w:r>
        <w:t xml:space="preserve"> </w:t>
      </w:r>
      <w:r>
        <w:rPr>
          <w:i/>
          <w:iCs/>
        </w:rPr>
        <w:t xml:space="preserve">Science 132(3434)</w:t>
      </w:r>
      <w:r>
        <w:t xml:space="preserve">:1115–1118.</w:t>
      </w:r>
      <w:bookmarkEnd w:id="81"/>
    </w:p>
    <w:p>
      <w:pPr>
        <w:pStyle w:val="ReferenceEntry"/>
        <w:numPr>
          <w:ilvl w:val="0"/>
          <w:numId w:val="1004"/>
        </w:numPr>
        <w:jc w:val="left"/>
        <w:keepNext w:val="0"/>
        <w:keepLines w:val="0"/>
        <w:widowControl w:val="1"/>
      </w:pPr>
      <w:bookmarkStart w:id="83" w:name="ref-landrum2024rdkit"/>
      <w:r>
        <w:t xml:space="preserve">Landrum, G., &amp; contributors. RDKit: Open-source cheminformatics.</w:t>
      </w:r>
      <w:r>
        <w:t xml:space="preserve"> </w:t>
      </w:r>
      <w:hyperlink r:id="rId82">
        <w:r>
          <w:rPr>
            <w:rStyle w:val="Hyperlink"/>
          </w:rPr>
          <w:t xml:space="preserve">rdkit.org</w:t>
        </w:r>
      </w:hyperlink>
      <w:r>
        <w:t xml:space="preserve">.</w:t>
      </w:r>
      <w:bookmarkEnd w:id="83"/>
    </w:p>
    <w:p>
      <w:pPr>
        <w:pStyle w:val="ReferenceEntry"/>
        <w:numPr>
          <w:ilvl w:val="0"/>
          <w:numId w:val="1004"/>
        </w:numPr>
        <w:jc w:val="left"/>
        <w:keepNext w:val="0"/>
        <w:keepLines w:val="0"/>
        <w:widowControl w:val="1"/>
      </w:pPr>
      <w:bookmarkStart w:id="84" w:name="ref-sterling2015zinc"/>
      <w:r>
        <w:t xml:space="preserve">Sterling, T., &amp; Irwin, J. J. (2015). ZINC 15: Ligand Discovery for Everyone.</w:t>
      </w:r>
      <w:r>
        <w:t xml:space="preserve"> </w:t>
      </w:r>
      <w:r>
        <w:rPr>
          <w:i/>
          <w:iCs/>
        </w:rPr>
        <w:t xml:space="preserve">J. Chem. Inf. Model. 55(11)</w:t>
      </w:r>
      <w:r>
        <w:t xml:space="preserve">:2324–2337.</w:t>
      </w:r>
      <w:bookmarkEnd w:id="84"/>
    </w:p>
    <w:p>
      <w:pPr>
        <w:pStyle w:val="ReferenceEntry"/>
        <w:numPr>
          <w:ilvl w:val="0"/>
          <w:numId w:val="1004"/>
        </w:numPr>
        <w:jc w:val="left"/>
        <w:keepNext w:val="0"/>
        <w:keepLines w:val="0"/>
        <w:widowControl w:val="1"/>
      </w:pPr>
      <w:bookmarkStart w:id="85" w:name="ref-kim2023pubchem"/>
      <w:r>
        <w:t xml:space="preserve">Kim, S. et al. (2023). PubChem 2023 Update.</w:t>
      </w:r>
      <w:r>
        <w:t xml:space="preserve"> </w:t>
      </w:r>
      <w:r>
        <w:rPr>
          <w:i/>
          <w:iCs/>
        </w:rPr>
        <w:t xml:space="preserve">Nucleic Acids Res. 51(D1)</w:t>
      </w:r>
      <w:r>
        <w:t xml:space="preserve">:D1373–D1380.</w:t>
      </w:r>
      <w:bookmarkEnd w:id="85"/>
    </w:p>
    <w:p>
      <w:pPr>
        <w:pStyle w:val="ReferenceEntry"/>
        <w:numPr>
          <w:ilvl w:val="0"/>
          <w:numId w:val="1004"/>
        </w:numPr>
        <w:jc w:val="left"/>
        <w:keepNext w:val="0"/>
        <w:keepLines w:val="0"/>
        <w:widowControl w:val="1"/>
      </w:pPr>
      <w:bookmarkStart w:id="86" w:name="ref-jaegle2021perceiver"/>
      <w:r>
        <w:t xml:space="preserve">Jaegle, A. et al. (2021). Perceiver: General Perception with Iterative Attention.</w:t>
      </w:r>
      <w:r>
        <w:t xml:space="preserve"> </w:t>
      </w:r>
      <w:r>
        <w:rPr>
          <w:i/>
          <w:iCs/>
        </w:rPr>
        <w:t xml:space="preserve">ICML 2021</w:t>
      </w:r>
      <w:r>
        <w:t xml:space="preserve">. arXiv:2103.03206.</w:t>
      </w:r>
      <w:bookmarkEnd w:id="86"/>
    </w:p>
    <w:p>
      <w:pPr>
        <w:pStyle w:val="ReferenceEntry"/>
        <w:numPr>
          <w:ilvl w:val="0"/>
          <w:numId w:val="1004"/>
        </w:numPr>
        <w:jc w:val="left"/>
        <w:keepNext w:val="0"/>
        <w:keepLines w:val="0"/>
        <w:widowControl w:val="1"/>
      </w:pPr>
      <w:bookmarkStart w:id="87" w:name="ref-olivecrona2017reinvent"/>
      <w:r>
        <w:t xml:space="preserve">Olivecrona, M., Blaschke, T., Engkvist, O., &amp; Chen, H. (2017). Molecular de-novo design through deep reinforcement learning.</w:t>
      </w:r>
      <w:r>
        <w:t xml:space="preserve"> </w:t>
      </w:r>
      <w:r>
        <w:rPr>
          <w:i/>
          <w:iCs/>
        </w:rPr>
        <w:t xml:space="preserve">J. Cheminformatics 9</w:t>
      </w:r>
      <w:r>
        <w:t xml:space="preserve">:48. doi:10.1186/s13321-017-0235-x.</w:t>
      </w:r>
      <w:bookmarkEnd w:id="87"/>
    </w:p>
    <w:p>
      <w:pPr>
        <w:pStyle w:val="ReferenceEntry"/>
        <w:numPr>
          <w:ilvl w:val="0"/>
          <w:numId w:val="1004"/>
        </w:numPr>
        <w:jc w:val="left"/>
        <w:keepNext w:val="0"/>
        <w:keepLines w:val="0"/>
        <w:widowControl w:val="1"/>
      </w:pPr>
      <w:bookmarkStart w:id="88" w:name="ref-loeffler2024reinvent4"/>
      <w:r>
        <w:t xml:space="preserve">Loeffler, H. H., He, J., Tibo, A., Janet, J. P., Voronov, A., Mervin, L. H., &amp; Engkvist, O. (2024). REINVENT 4: Modern AI-driven generative molecule design.</w:t>
      </w:r>
      <w:r>
        <w:t xml:space="preserve"> </w:t>
      </w:r>
      <w:r>
        <w:rPr>
          <w:i/>
          <w:iCs/>
        </w:rPr>
        <w:t xml:space="preserve">J. Cheminformatics 16</w:t>
      </w:r>
      <w:r>
        <w:t xml:space="preserve">:20. doi:10.1186/s13321-024-00812-5.</w:t>
      </w:r>
      <w:bookmarkEnd w:id="88"/>
    </w:p>
    <w:p>
      <w:pPr>
        <w:pStyle w:val="ReferenceEntry"/>
        <w:numPr>
          <w:ilvl w:val="0"/>
          <w:numId w:val="1004"/>
        </w:numPr>
        <w:jc w:val="left"/>
        <w:keepNext w:val="0"/>
        <w:keepLines w:val="0"/>
        <w:widowControl w:val="1"/>
      </w:pPr>
      <w:bookmarkStart w:id="89" w:name="ref-yang2017chemts"/>
      <w:r>
        <w:t xml:space="preserve">Yang, X., Zhang, J., Yoshizoe, K., Terayama, K., &amp; Tsuda, K. (2017). ChemTS: An efficient python library for de novo molecular generation.</w:t>
      </w:r>
      <w:r>
        <w:t xml:space="preserve"> </w:t>
      </w:r>
      <w:r>
        <w:rPr>
          <w:i/>
          <w:iCs/>
        </w:rPr>
        <w:t xml:space="preserve">Sci. Tech. Adv. Mater. 18(1)</w:t>
      </w:r>
      <w:r>
        <w:t xml:space="preserve">:972–976. doi:10.1080/14686996.2017.1401424.</w:t>
      </w:r>
      <w:bookmarkEnd w:id="89"/>
    </w:p>
    <w:p>
      <w:pPr>
        <w:pStyle w:val="ReferenceEntry"/>
        <w:numPr>
          <w:ilvl w:val="0"/>
          <w:numId w:val="1004"/>
        </w:numPr>
        <w:jc w:val="left"/>
        <w:keepNext w:val="0"/>
        <w:keepLines w:val="0"/>
        <w:widowControl w:val="1"/>
      </w:pPr>
      <w:bookmarkStart w:id="90" w:name="ref-bagal2022molgpt"/>
      <w:r>
        <w:t xml:space="preserve">Bagal, V., Aggarwal, R., Vinod, P. K., &amp; Priyakumar, U. D. (2022). MolGPT: Molecular Generation Using a Transformer-Decoder Model.</w:t>
      </w:r>
      <w:r>
        <w:t xml:space="preserve"> </w:t>
      </w:r>
      <w:r>
        <w:rPr>
          <w:i/>
          <w:iCs/>
        </w:rPr>
        <w:t xml:space="preserve">J. Chem. Inf. Model. 62(9)</w:t>
      </w:r>
      <w:r>
        <w:t xml:space="preserve">:2064–2076. doi:10.1021/acs.jcim.1c00600.</w:t>
      </w:r>
      <w:bookmarkEnd w:id="90"/>
    </w:p>
    <w:p>
      <w:pPr>
        <w:pStyle w:val="ReferenceEntry"/>
        <w:numPr>
          <w:ilvl w:val="0"/>
          <w:numId w:val="1004"/>
        </w:numPr>
        <w:jc w:val="left"/>
        <w:keepNext w:val="0"/>
        <w:keepLines w:val="0"/>
        <w:widowControl w:val="1"/>
      </w:pPr>
      <w:bookmarkStart w:id="91" w:name="ref-winter2019cddd"/>
      <w:r>
        <w:t xml:space="preserve">Winter, R., Montanari, F., Noé, F., &amp; Clevert, D.-A. (2019). Learning continuous and data-driven molecular descriptors by translating equivalent chemical representations.</w:t>
      </w:r>
      <w:r>
        <w:t xml:space="preserve"> </w:t>
      </w:r>
      <w:r>
        <w:rPr>
          <w:i/>
          <w:iCs/>
        </w:rPr>
        <w:t xml:space="preserve">Chem. Sci. 10(6)</w:t>
      </w:r>
      <w:r>
        <w:t xml:space="preserve">:1692–1701. doi:10.1039/C8SC04175J.</w:t>
      </w:r>
      <w:bookmarkEnd w:id="91"/>
    </w:p>
    <w:p>
      <w:pPr>
        <w:pStyle w:val="ReferenceEntry"/>
        <w:numPr>
          <w:ilvl w:val="0"/>
          <w:numId w:val="1004"/>
        </w:numPr>
        <w:jc w:val="left"/>
        <w:keepNext w:val="0"/>
        <w:keepLines w:val="0"/>
        <w:widowControl w:val="1"/>
      </w:pPr>
      <w:bookmarkStart w:id="92" w:name="ref-maziarka2020molcyclegan"/>
      <w:r>
        <w:t xml:space="preserve">Maziarka, Ł., Pocha, A., Kaczmarczyk, J., Rataj, K., Danel, T., &amp; Warchoł, M. (2020). Mol-CycleGAN: a generative model for molecular optimization.</w:t>
      </w:r>
      <w:r>
        <w:t xml:space="preserve"> </w:t>
      </w:r>
      <w:r>
        <w:rPr>
          <w:i/>
          <w:iCs/>
        </w:rPr>
        <w:t xml:space="preserve">J. Cheminformatics 12</w:t>
      </w:r>
      <w:r>
        <w:t xml:space="preserve">:2. doi:10.1186/s13321-019-0404-1.</w:t>
      </w:r>
      <w:bookmarkEnd w:id="92"/>
    </w:p>
    <w:p>
      <w:pPr>
        <w:pStyle w:val="ReferenceEntry"/>
        <w:numPr>
          <w:ilvl w:val="0"/>
          <w:numId w:val="1004"/>
        </w:numPr>
        <w:jc w:val="left"/>
        <w:keepNext w:val="0"/>
        <w:keepLines w:val="0"/>
        <w:widowControl w:val="1"/>
      </w:pPr>
      <w:bookmarkStart w:id="93" w:name="ref-schneuing2022diffsbdd"/>
      <w:r>
        <w:t xml:space="preserve">Schneuing, A. et al. (2022). Structure-based Drug Design with Equivariant Diffusion Models.</w:t>
      </w:r>
      <w:r>
        <w:t xml:space="preserve"> </w:t>
      </w:r>
      <w:r>
        <w:rPr>
          <w:i/>
          <w:iCs/>
        </w:rPr>
        <w:t xml:space="preserve">NeurIPS 2022 AI4Science Workshop</w:t>
      </w:r>
      <w:r>
        <w:t xml:space="preserve">. arXiv:2210.13695.</w:t>
      </w:r>
      <w:bookmarkEnd w:id="93"/>
    </w:p>
    <w:p>
      <w:pPr>
        <w:pStyle w:val="ReferenceEntry"/>
        <w:numPr>
          <w:ilvl w:val="0"/>
          <w:numId w:val="1004"/>
        </w:numPr>
        <w:jc w:val="left"/>
        <w:keepNext w:val="0"/>
        <w:keepLines w:val="0"/>
        <w:widowControl w:val="1"/>
      </w:pPr>
      <w:bookmarkStart w:id="94" w:name="ref-guan2023targetdiff"/>
      <w:r>
        <w:t xml:space="preserve">Guan, J. et al. (2023). 3D Equivariant Diffusion for Target-Aware Molecule Generation and Affinity Prediction.</w:t>
      </w:r>
      <w:r>
        <w:t xml:space="preserve"> </w:t>
      </w:r>
      <w:r>
        <w:rPr>
          <w:i/>
          <w:iCs/>
        </w:rPr>
        <w:t xml:space="preserve">ICLR 2023</w:t>
      </w:r>
      <w:r>
        <w:t xml:space="preserve">. arXiv:2303.03543.</w:t>
      </w:r>
      <w:bookmarkEnd w:id="94"/>
    </w:p>
    <w:p>
      <w:pPr>
        <w:pStyle w:val="ReferenceEntry"/>
        <w:numPr>
          <w:ilvl w:val="0"/>
          <w:numId w:val="1004"/>
        </w:numPr>
        <w:jc w:val="left"/>
        <w:keepNext w:val="0"/>
        <w:keepLines w:val="0"/>
        <w:widowControl w:val="1"/>
      </w:pPr>
      <w:bookmarkStart w:id="95" w:name="ref-corso2023diffdock"/>
      <w:r>
        <w:t xml:space="preserve">Corso, G., Stärk, H., Jing, B., Barzilay, R., &amp; Jaakkola, T. (2023). DiffDock: Diffusion Steps, Twists, and Turns for Molecular Docking.</w:t>
      </w:r>
      <w:r>
        <w:t xml:space="preserve"> </w:t>
      </w:r>
      <w:r>
        <w:rPr>
          <w:i/>
          <w:iCs/>
        </w:rPr>
        <w:t xml:space="preserve">ICLR 2023</w:t>
      </w:r>
      <w:r>
        <w:t xml:space="preserve">. arXiv:2210.01776.</w:t>
      </w:r>
      <w:bookmarkEnd w:id="95"/>
    </w:p>
    <w:p>
      <w:pPr>
        <w:pStyle w:val="ReferenceEntry"/>
        <w:numPr>
          <w:ilvl w:val="0"/>
          <w:numId w:val="1004"/>
        </w:numPr>
        <w:jc w:val="left"/>
        <w:keepNext w:val="0"/>
        <w:keepLines w:val="0"/>
        <w:widowControl w:val="1"/>
      </w:pPr>
      <w:bookmarkStart w:id="96" w:name="ref-peng2022pocket2mol"/>
      <w:r>
        <w:t xml:space="preserve">Peng, X., Luo, S., Guan, J., Xie, Q., Peng, J., &amp; Ma, J. (2022). Pocket2Mol: Efficient Molecular Sampling Based on 3D Protein Pockets.</w:t>
      </w:r>
      <w:r>
        <w:t xml:space="preserve"> </w:t>
      </w:r>
      <w:r>
        <w:rPr>
          <w:i/>
          <w:iCs/>
        </w:rPr>
        <w:t xml:space="preserve">ICML 2022</w:t>
      </w:r>
      <w:r>
        <w:t xml:space="preserve">. arXiv:2205.07249.</w:t>
      </w:r>
      <w:bookmarkEnd w:id="96"/>
    </w:p>
    <w:p>
      <w:pPr>
        <w:pStyle w:val="ReferenceEntry"/>
        <w:numPr>
          <w:ilvl w:val="0"/>
          <w:numId w:val="1004"/>
        </w:numPr>
        <w:jc w:val="left"/>
        <w:keepNext w:val="0"/>
        <w:keepLines w:val="0"/>
        <w:widowControl w:val="1"/>
      </w:pPr>
      <w:bookmarkStart w:id="97" w:name="ref-nefati1996ann"/>
      <w:r>
        <w:t xml:space="preserve">Nefati, H., Cense, J.-M., &amp; Legendre, J.-J. (1996). Prediction of the Impact Sensitivity by Neural Networks.</w:t>
      </w:r>
      <w:r>
        <w:t xml:space="preserve"> </w:t>
      </w:r>
      <w:r>
        <w:rPr>
          <w:i/>
          <w:iCs/>
        </w:rPr>
        <w:t xml:space="preserve">J. Chem. Inf. Comput. Sci. 36(4)</w:t>
      </w:r>
      <w:r>
        <w:t xml:space="preserve">:804–810. doi:10.1021/ci950223m.</w:t>
      </w:r>
      <w:bookmarkEnd w:id="97"/>
    </w:p>
    <w:p>
      <w:pPr>
        <w:pStyle w:val="ReferenceEntry"/>
        <w:numPr>
          <w:ilvl w:val="0"/>
          <w:numId w:val="1004"/>
        </w:numPr>
        <w:jc w:val="left"/>
        <w:keepNext w:val="0"/>
        <w:keepLines w:val="0"/>
        <w:widowControl w:val="1"/>
      </w:pPr>
      <w:bookmarkStart w:id="98" w:name="ref-klapotke2017nitrogen"/>
      <w:r>
        <w:t xml:space="preserve">Klapötke, T. M. (2017). Strategies for the synthesis of energetic, nitrogen-rich heterocycles and their salts.</w:t>
      </w:r>
      <w:r>
        <w:t xml:space="preserve"> </w:t>
      </w:r>
      <w:r>
        <w:rPr>
          <w:i/>
          <w:iCs/>
        </w:rPr>
        <w:t xml:space="preserve">Chem. Mater. 29(5)</w:t>
      </w:r>
      <w:r>
        <w:t xml:space="preserve">:1815–1826. doi:10.1021/acs.chemmater.6b04025.</w:t>
      </w:r>
      <w:bookmarkEnd w:id="98"/>
    </w:p>
    <w:p>
      <w:pPr>
        <w:pStyle w:val="ReferenceEntry"/>
        <w:numPr>
          <w:ilvl w:val="0"/>
          <w:numId w:val="1004"/>
        </w:numPr>
        <w:jc w:val="left"/>
        <w:keepNext w:val="0"/>
        <w:keepLines w:val="0"/>
        <w:widowControl w:val="1"/>
      </w:pPr>
      <w:bookmarkStart w:id="99" w:name="ref-griffiths2020constrained"/>
      <w:r>
        <w:t xml:space="preserve">Griffiths, R.-R., &amp; Hernández-Lobato, J. M. (2020). Constrained Bayesian optimization for automatic chemical design using variational autoencoders.</w:t>
      </w:r>
      <w:r>
        <w:t xml:space="preserve"> </w:t>
      </w:r>
      <w:r>
        <w:rPr>
          <w:i/>
          <w:iCs/>
        </w:rPr>
        <w:t xml:space="preserve">Chem. Sci. 11(2)</w:t>
      </w:r>
      <w:r>
        <w:t xml:space="preserve">:577–586. doi:10.1039/C9SC04026A.</w:t>
      </w:r>
      <w:bookmarkEnd w:id="99"/>
    </w:p>
    <w:p>
      <w:pPr>
        <w:pStyle w:val="ReferenceEntry"/>
        <w:numPr>
          <w:ilvl w:val="0"/>
          <w:numId w:val="1004"/>
        </w:numPr>
        <w:jc w:val="left"/>
        <w:keepNext w:val="0"/>
        <w:keepLines w:val="0"/>
        <w:widowControl w:val="1"/>
      </w:pPr>
      <w:bookmarkStart w:id="100" w:name="ref-yang2019chemprop"/>
      <w:r>
        <w:t xml:space="preserve">Yang, K. et al. (2019). Analyzing Learned Molecular Representations for Property Prediction.</w:t>
      </w:r>
      <w:r>
        <w:t xml:space="preserve"> </w:t>
      </w:r>
      <w:r>
        <w:rPr>
          <w:i/>
          <w:iCs/>
        </w:rPr>
        <w:t xml:space="preserve">J. Chem. Inf. Model. 59(8)</w:t>
      </w:r>
      <w:r>
        <w:t xml:space="preserve">:3370–3388. doi:10.1021/acs.jcim.9b00237.</w:t>
      </w:r>
      <w:bookmarkEnd w:id="100"/>
    </w:p>
    <w:p>
      <w:pPr>
        <w:pStyle w:val="ReferenceEntry"/>
        <w:numPr>
          <w:ilvl w:val="0"/>
          <w:numId w:val="1004"/>
        </w:numPr>
        <w:jc w:val="left"/>
        <w:keepNext w:val="0"/>
        <w:keepLines w:val="0"/>
        <w:widowControl w:val="1"/>
      </w:pPr>
      <w:bookmarkStart w:id="101" w:name="ref-schutt2018schnet"/>
      <w:r>
        <w:t xml:space="preserve">Schütt, K. T., Sauceda, H. E., Kindermans, P.-J., Tkatchenko, A., &amp; Müller, K.-R. (2018). SchNet: A deep learning architecture for molecules and materials.</w:t>
      </w:r>
      <w:r>
        <w:t xml:space="preserve"> </w:t>
      </w:r>
      <w:r>
        <w:rPr>
          <w:i/>
          <w:iCs/>
        </w:rPr>
        <w:t xml:space="preserve">J. Chem. Phys. 148</w:t>
      </w:r>
      <w:r>
        <w:t xml:space="preserve">:241722. doi:10.1063/1.5019779.</w:t>
      </w:r>
      <w:bookmarkEnd w:id="101"/>
    </w:p>
    <w:p>
      <w:pPr>
        <w:pStyle w:val="ReferenceEntry"/>
        <w:numPr>
          <w:ilvl w:val="0"/>
          <w:numId w:val="1004"/>
        </w:numPr>
        <w:jc w:val="left"/>
        <w:keepNext w:val="0"/>
        <w:keepLines w:val="0"/>
        <w:widowControl w:val="1"/>
      </w:pPr>
      <w:bookmarkStart w:id="102" w:name="ref-qiao2020orbnet"/>
      <w:r>
        <w:t xml:space="preserve">Qiao, Z., Welborn, M., Anandkumar, A., Manby, F. R., &amp; Miller III, T. F. (2020). OrbNet: Deep learning for quantum chemistry using symmetry-adapted atomic-orbital features.</w:t>
      </w:r>
      <w:r>
        <w:t xml:space="preserve"> </w:t>
      </w:r>
      <w:r>
        <w:rPr>
          <w:i/>
          <w:iCs/>
        </w:rPr>
        <w:t xml:space="preserve">J. Chem. Phys. 153</w:t>
      </w:r>
      <w:r>
        <w:t xml:space="preserve">:124111. doi:10.1063/5.0021955.</w:t>
      </w:r>
      <w:bookmarkEnd w:id="102"/>
    </w:p>
    <w:p>
      <w:pPr>
        <w:pStyle w:val="ReferenceEntry"/>
        <w:numPr>
          <w:ilvl w:val="0"/>
          <w:numId w:val="1004"/>
        </w:numPr>
        <w:jc w:val="left"/>
        <w:keepNext w:val="0"/>
        <w:keepLines w:val="0"/>
        <w:widowControl w:val="1"/>
      </w:pPr>
      <w:bookmarkStart w:id="103" w:name="ref-brown2019guacamol"/>
      <w:r>
        <w:t xml:space="preserve">Brown, N., Fiscato, M., Segler, M. H. S., &amp; Vaucher, A. C. (2019). GuacaMol: Benchmarking Models for de Novo Molecular Design.</w:t>
      </w:r>
      <w:r>
        <w:t xml:space="preserve"> </w:t>
      </w:r>
      <w:r>
        <w:rPr>
          <w:i/>
          <w:iCs/>
        </w:rPr>
        <w:t xml:space="preserve">J. Chem. Inf. Model. 59(3)</w:t>
      </w:r>
      <w:r>
        <w:t xml:space="preserve">:1096–1108. doi:10.1021/acs.jcim.8b00839.</w:t>
      </w:r>
      <w:bookmarkEnd w:id="103"/>
    </w:p>
    <w:p>
      <w:pPr>
        <w:pStyle w:val="ReferenceEntry"/>
        <w:numPr>
          <w:ilvl w:val="0"/>
          <w:numId w:val="1004"/>
        </w:numPr>
        <w:jc w:val="left"/>
        <w:keepNext w:val="0"/>
        <w:keepLines w:val="0"/>
        <w:widowControl w:val="1"/>
      </w:pPr>
      <w:bookmarkStart w:id="104" w:name="ref-polykovskiy2020moses"/>
      <w:r>
        <w:t xml:space="preserve">Polykovskiy, D. et al. (2020). Molecular Sets (MOSES): A Benchmarking Platform for Molecular Generation Models.</w:t>
      </w:r>
      <w:r>
        <w:t xml:space="preserve"> </w:t>
      </w:r>
      <w:r>
        <w:rPr>
          <w:i/>
          <w:iCs/>
        </w:rPr>
        <w:t xml:space="preserve">Frontiers in Pharmacology 11</w:t>
      </w:r>
      <w:r>
        <w:t xml:space="preserve">:565644. doi:10.3389/fphar.2020.565644.</w:t>
      </w:r>
      <w:bookmarkEnd w:id="104"/>
    </w:p>
    <w:p>
      <w:pPr>
        <w:pStyle w:val="ReferenceEntry"/>
        <w:numPr>
          <w:ilvl w:val="0"/>
          <w:numId w:val="1004"/>
        </w:numPr>
        <w:jc w:val="left"/>
        <w:keepNext w:val="0"/>
        <w:keepLines w:val="0"/>
        <w:widowControl w:val="1"/>
      </w:pPr>
      <w:bookmarkStart w:id="105" w:name="ref-preuer2018fcd"/>
      <w:r>
        <w:t xml:space="preserve">Preuer, K., Renz, P., Unterthiner, T., Hochreiter, S., &amp; Klambauer, G. (2018). Fréchet ChemNet Distance: A Metric for Generative Models for Molecules in Drug Discovery.</w:t>
      </w:r>
      <w:r>
        <w:t xml:space="preserve"> </w:t>
      </w:r>
      <w:r>
        <w:rPr>
          <w:i/>
          <w:iCs/>
        </w:rPr>
        <w:t xml:space="preserve">J. Chem. Inf. Model. 58(9)</w:t>
      </w:r>
      <w:r>
        <w:t xml:space="preserve">:1736–1741.</w:t>
      </w:r>
      <w:bookmarkEnd w:id="105"/>
    </w:p>
    <w:p>
      <w:pPr>
        <w:pStyle w:val="ReferenceEntry"/>
        <w:numPr>
          <w:ilvl w:val="0"/>
          <w:numId w:val="1004"/>
        </w:numPr>
        <w:jc w:val="left"/>
        <w:keepNext w:val="0"/>
        <w:keepLines w:val="0"/>
        <w:widowControl w:val="1"/>
      </w:pPr>
      <w:bookmarkStart w:id="106" w:name="ref-reymond2015gdb"/>
      <w:r>
        <w:t xml:space="preserve">Reymond, J.-L. (2015). The chemical space project.</w:t>
      </w:r>
      <w:r>
        <w:t xml:space="preserve"> </w:t>
      </w:r>
      <w:r>
        <w:rPr>
          <w:i/>
          <w:iCs/>
        </w:rPr>
        <w:t xml:space="preserve">Acc. Chem. Res. 48(3)</w:t>
      </w:r>
      <w:r>
        <w:t xml:space="preserve">:722–730.</w:t>
      </w:r>
      <w:bookmarkEnd w:id="106"/>
    </w:p>
    <w:p>
      <w:pPr>
        <w:pStyle w:val="ReferenceEntry"/>
        <w:numPr>
          <w:ilvl w:val="0"/>
          <w:numId w:val="1004"/>
        </w:numPr>
        <w:jc w:val="left"/>
        <w:keepNext w:val="0"/>
        <w:keepLines w:val="0"/>
        <w:widowControl w:val="1"/>
      </w:pPr>
      <w:bookmarkStart w:id="107" w:name="ref-emdb"/>
      <w:r>
        <w:t xml:space="preserve">Hand-compilation of measured density, heat of formation, and detonation properties for ~3 000 known energetic CHNO compounds, assembled in this work from secondary literature compilations: Klapötke, T. M.</w:t>
      </w:r>
      <w:r>
        <w:t xml:space="preserve"> </w:t>
      </w:r>
      <w:r>
        <w:rPr>
          <w:i/>
          <w:iCs/>
        </w:rPr>
        <w:t xml:space="preserve">Chemistry of High-Energy Materials</w:t>
      </w:r>
      <w:r>
        <w:t xml:space="preserve">, 5th ed. (de Gruyter, 2019); Cooper, P. W.</w:t>
      </w:r>
      <w:r>
        <w:t xml:space="preserve"> </w:t>
      </w:r>
      <w:r>
        <w:rPr>
          <w:i/>
          <w:iCs/>
        </w:rPr>
        <w:t xml:space="preserve">Explosives Engineering</w:t>
      </w:r>
      <w:r>
        <w:t xml:space="preserve"> </w:t>
      </w:r>
      <w:r>
        <w:t xml:space="preserve">(Wiley-VCH, 1996); and Dobratz, B. M. &amp; Crawford, P. C.</w:t>
      </w:r>
      <w:r>
        <w:t xml:space="preserve"> </w:t>
      </w:r>
      <w:r>
        <w:rPr>
          <w:i/>
          <w:iCs/>
        </w:rPr>
        <w:t xml:space="preserve">LLNL Explosives Handbook: Properties of Chemical Explosives and Explosive Simulants</w:t>
      </w:r>
      <w:r>
        <w:t xml:space="preserve">, UCRL-52997, Rev. 2 (Lawrence Livermore National Laboratory, 1985). Per-row provenance documented in Appendix A.1.</w:t>
      </w:r>
      <w:bookmarkEnd w:id="107"/>
    </w:p>
    <w:p>
      <w:pPr>
        <w:pStyle w:val="ReferenceEntry"/>
        <w:numPr>
          <w:ilvl w:val="0"/>
          <w:numId w:val="1004"/>
        </w:numPr>
        <w:jc w:val="left"/>
        <w:keepNext w:val="0"/>
        <w:keepLines w:val="0"/>
        <w:widowControl w:val="1"/>
      </w:pPr>
      <w:bookmarkStart w:id="109" w:name="ref-cameo"/>
      <w:r>
        <w:t xml:space="preserve">NIST CAMEO Chemicals: Database of Hazardous Materials and Reactivity.</w:t>
      </w:r>
      <w:r>
        <w:t xml:space="preserve"> </w:t>
      </w:r>
      <w:hyperlink r:id="rId108">
        <w:r>
          <w:rPr>
            <w:rStyle w:val="Hyperlink"/>
          </w:rPr>
          <w:t xml:space="preserve">cameochemicals.noaa.gov</w:t>
        </w:r>
      </w:hyperlink>
      <w:r>
        <w:t xml:space="preserve">.</w:t>
      </w:r>
      <w:bookmarkEnd w:id="109"/>
    </w:p>
    <w:p>
      <w:pPr>
        <w:pStyle w:val="ReferenceEntry"/>
        <w:numPr>
          <w:ilvl w:val="0"/>
          <w:numId w:val="1004"/>
        </w:numPr>
        <w:jc w:val="left"/>
        <w:keepNext w:val="0"/>
        <w:keepLines w:val="0"/>
        <w:widowControl w:val="1"/>
      </w:pPr>
      <w:bookmarkStart w:id="110" w:name="ref-bruns2020watson"/>
      <w:r>
        <w:t xml:space="preserve">Bruns, H., &amp; Watson, P. (2020). SMARTS-based reactivity demerit catalogues for energetic-materials triage (in-house compilation following the ChemAxon “dangerous reactivity” rule set).</w:t>
      </w:r>
      <w:bookmarkEnd w:id="110"/>
    </w:p>
    <w:p>
      <w:pPr>
        <w:pStyle w:val="ReferenceEntry"/>
        <w:numPr>
          <w:ilvl w:val="0"/>
          <w:numId w:val="1004"/>
        </w:numPr>
        <w:jc w:val="left"/>
        <w:keepNext w:val="0"/>
        <w:keepLines w:val="0"/>
        <w:widowControl w:val="1"/>
      </w:pPr>
      <w:bookmarkStart w:id="111" w:name="ref-bannwarth2019gfn2"/>
      <w:r>
        <w:t xml:space="preserve">Bannwarth, C., Ehlert, S., &amp; Grimme, S. (2019). GFN2-xTB: An Accurate and Broadly Parametrized Self-Consistent Tight-Binding Quantum Chemical Method with Multipole Electrostatics and Density-Dependent Dispersion Contributions.</w:t>
      </w:r>
      <w:r>
        <w:t xml:space="preserve"> </w:t>
      </w:r>
      <w:r>
        <w:rPr>
          <w:i/>
          <w:iCs/>
        </w:rPr>
        <w:t xml:space="preserve">J. Chem. Theory Comput. 15(3)</w:t>
      </w:r>
      <w:r>
        <w:t xml:space="preserve">:1652–1671. doi:10.1021/acs.jctc.8b01176.</w:t>
      </w:r>
      <w:bookmarkEnd w:id="111"/>
    </w:p>
    <w:p>
      <w:pPr>
        <w:pStyle w:val="ReferenceEntry"/>
        <w:numPr>
          <w:ilvl w:val="0"/>
          <w:numId w:val="1004"/>
        </w:numPr>
        <w:jc w:val="left"/>
        <w:keepNext w:val="0"/>
        <w:keepLines w:val="0"/>
        <w:widowControl w:val="1"/>
      </w:pPr>
      <w:bookmarkStart w:id="112" w:name="ref-goerigk2017benchmark"/>
      <w:r>
        <w:t xml:space="preserve">Goerigk, L., Hansen, A., Bauer, C., Ehrlich, S., Najibi, A., &amp; Grimme, S. (2017). A look at the density functional theory zoo with the advanced GMTKN55 database for general main group thermochemistry, kinetics and noncovalent interactions.</w:t>
      </w:r>
      <w:r>
        <w:t xml:space="preserve"> </w:t>
      </w:r>
      <w:r>
        <w:rPr>
          <w:i/>
          <w:iCs/>
        </w:rPr>
        <w:t xml:space="preserve">Phys. Chem. Chem. Phys. 19(48)</w:t>
      </w:r>
      <w:r>
        <w:t xml:space="preserve">:32184–32215. doi:10.1039/C7CP04913G.</w:t>
      </w:r>
      <w:bookmarkEnd w:id="112"/>
    </w:p>
    <w:p>
      <w:pPr>
        <w:pStyle w:val="ReferenceEntry"/>
        <w:numPr>
          <w:ilvl w:val="0"/>
          <w:numId w:val="1004"/>
        </w:numPr>
        <w:jc w:val="left"/>
        <w:keepNext w:val="0"/>
        <w:keepLines w:val="0"/>
        <w:widowControl w:val="1"/>
      </w:pPr>
      <w:bookmarkStart w:id="113" w:name="ref-bondi1964vdw"/>
      <w:r>
        <w:t xml:space="preserve">Bondi, A. (1964). van der Waals Volumes and Radii.</w:t>
      </w:r>
      <w:r>
        <w:t xml:space="preserve"> </w:t>
      </w:r>
      <w:r>
        <w:rPr>
          <w:i/>
          <w:iCs/>
        </w:rPr>
        <w:t xml:space="preserve">J. Phys. Chem. 68(3)</w:t>
      </w:r>
      <w:r>
        <w:t xml:space="preserve">:441–451. doi:10.1021/j100785a001.</w:t>
      </w:r>
      <w:bookmarkEnd w:id="113"/>
    </w:p>
    <w:p>
      <w:pPr>
        <w:pStyle w:val="ReferenceEntry"/>
        <w:numPr>
          <w:ilvl w:val="0"/>
          <w:numId w:val="1004"/>
        </w:numPr>
        <w:jc w:val="left"/>
        <w:keepNext w:val="0"/>
        <w:keepLines w:val="0"/>
        <w:widowControl w:val="1"/>
      </w:pPr>
      <w:bookmarkStart w:id="114" w:name="ref-genheden2020aizynth"/>
      <w:r>
        <w:t xml:space="preserve">Genheden, S., Thakkar, A., Chadimová, V., Reymond, J.-L., Engkvist, O., &amp; Bjerrum, E. J. (2020). AiZynthFinder: a fast, robust and flexible open-source software for retrosynthetic planning.</w:t>
      </w:r>
      <w:r>
        <w:t xml:space="preserve"> </w:t>
      </w:r>
      <w:r>
        <w:rPr>
          <w:i/>
          <w:iCs/>
        </w:rPr>
        <w:t xml:space="preserve">Journal of Cheminformatics 12</w:t>
      </w:r>
      <w:r>
        <w:t xml:space="preserve">:70. doi:10.1186/s13321-020-00472-1.</w:t>
      </w:r>
      <w:bookmarkEnd w:id="114"/>
    </w:p>
    <w:p>
      <w:pPr>
        <w:pStyle w:val="ReferenceEntry"/>
        <w:numPr>
          <w:ilvl w:val="0"/>
          <w:numId w:val="1004"/>
        </w:numPr>
        <w:jc w:val="left"/>
        <w:keepNext w:val="0"/>
        <w:keepLines w:val="0"/>
        <w:widowControl w:val="1"/>
      </w:pPr>
      <w:bookmarkStart w:id="115" w:name="ref-sun2020pyscf"/>
      <w:r>
        <w:t xml:space="preserve">Sun, Q., Zhang, X., Banerjee, S., Bao, P., et al. (2020). Recent developments in the PySCF program package.</w:t>
      </w:r>
      <w:r>
        <w:t xml:space="preserve"> </w:t>
      </w:r>
      <w:r>
        <w:rPr>
          <w:i/>
          <w:iCs/>
        </w:rPr>
        <w:t xml:space="preserve">J. Chem. Phys. 153</w:t>
      </w:r>
      <w:r>
        <w:t xml:space="preserve">:024109. doi:10.1063/5.0006074.</w:t>
      </w:r>
      <w:bookmarkEnd w:id="115"/>
    </w:p>
    <w:p>
      <w:pPr>
        <w:pStyle w:val="ReferenceEntry"/>
        <w:numPr>
          <w:ilvl w:val="0"/>
          <w:numId w:val="1004"/>
        </w:numPr>
        <w:jc w:val="left"/>
        <w:keepNext w:val="0"/>
        <w:keepLines w:val="0"/>
        <w:widowControl w:val="1"/>
      </w:pPr>
      <w:bookmarkStart w:id="116" w:name="ref-perez2018film"/>
      <w:r>
        <w:t xml:space="preserve">Perez, E., Strub, F., de Vries, H., Dumoulin, V., &amp; Courville, A. (2018). FiLM: Visual Reasoning with a General Conditioning Layer.</w:t>
      </w:r>
      <w:r>
        <w:t xml:space="preserve"> </w:t>
      </w:r>
      <w:r>
        <w:rPr>
          <w:i/>
          <w:iCs/>
        </w:rPr>
        <w:t xml:space="preserve">AAAI 2018</w:t>
      </w:r>
      <w:r>
        <w:t xml:space="preserve">. arXiv:1709.07871.</w:t>
      </w:r>
      <w:bookmarkEnd w:id="116"/>
    </w:p>
    <w:p>
      <w:pPr>
        <w:pStyle w:val="ReferenceEntry"/>
        <w:numPr>
          <w:ilvl w:val="0"/>
          <w:numId w:val="1004"/>
        </w:numPr>
        <w:jc w:val="left"/>
        <w:keepNext w:val="0"/>
        <w:keepLines w:val="0"/>
        <w:widowControl w:val="1"/>
      </w:pPr>
      <w:bookmarkStart w:id="117" w:name="ref-xu2023geoldm"/>
      <w:r>
        <w:t xml:space="preserve">Xu, M., Powers, A., Dror, R. O., Ermon, S., &amp; Leskovec, J. (2023). Geometric Latent Diffusion Models for 3D Molecule Generation.</w:t>
      </w:r>
      <w:r>
        <w:t xml:space="preserve"> </w:t>
      </w:r>
      <w:r>
        <w:rPr>
          <w:i/>
          <w:iCs/>
        </w:rPr>
        <w:t xml:space="preserve">ICML 2023</w:t>
      </w:r>
      <w:r>
        <w:t xml:space="preserve">. arXiv:2305.01140.</w:t>
      </w:r>
      <w:bookmarkEnd w:id="117"/>
    </w:p>
    <w:p>
      <w:pPr>
        <w:pStyle w:val="ReferenceEntry"/>
        <w:numPr>
          <w:ilvl w:val="0"/>
          <w:numId w:val="1004"/>
        </w:numPr>
        <w:jc w:val="left"/>
        <w:keepNext w:val="0"/>
        <w:keepLines w:val="0"/>
        <w:widowControl w:val="1"/>
      </w:pPr>
      <w:bookmarkStart w:id="118" w:name="ref-npjcompmat2025"/>
      <w:r>
        <w:t xml:space="preserve">Z. et al. (2025). De novo multi-objective generation framework for energetic materials with trading off energy and stability.</w:t>
      </w:r>
      <w:r>
        <w:t xml:space="preserve"> </w:t>
      </w:r>
      <w:r>
        <w:rPr>
          <w:i/>
          <w:iCs/>
        </w:rPr>
        <w:t xml:space="preserve">npj Computational Materials</w:t>
      </w:r>
      <w:r>
        <w:t xml:space="preserve">. doi:10.1038/s41524-025-01845-6.</w:t>
      </w:r>
      <w:bookmarkEnd w:id="118"/>
    </w:p>
    <w:p>
      <w:pPr>
        <w:pStyle w:val="ReferenceEntry"/>
        <w:numPr>
          <w:ilvl w:val="0"/>
          <w:numId w:val="1004"/>
        </w:numPr>
        <w:jc w:val="left"/>
        <w:keepNext w:val="0"/>
        <w:keepLines w:val="0"/>
        <w:widowControl w:val="1"/>
      </w:pPr>
      <w:bookmarkStart w:id="119" w:name="ref-choi2023prep"/>
      <w:r>
        <w:t xml:space="preserve">Choi, J. B., Nguyen, P. C. H., Sen, O., Udaykumar, H. S., &amp; Baek, S. (2023). Artificial Intelligence Approaches for Energetic Materials by Design: State of the Art, Challenges, and Future Directions.</w:t>
      </w:r>
      <w:r>
        <w:t xml:space="preserve"> </w:t>
      </w:r>
      <w:r>
        <w:rPr>
          <w:i/>
          <w:iCs/>
        </w:rPr>
        <w:t xml:space="preserve">Propellants, Explosives, Pyrotechnics 48(4)</w:t>
      </w:r>
      <w:r>
        <w:t xml:space="preserve">, e202200276. doi:10.1002/prep.202200276.</w:t>
      </w:r>
      <w:bookmarkEnd w:id="119"/>
    </w:p>
    <w:p>
      <w:pPr>
        <w:pStyle w:val="ReferenceEntry"/>
        <w:numPr>
          <w:ilvl w:val="0"/>
          <w:numId w:val="1004"/>
        </w:numPr>
        <w:jc w:val="left"/>
        <w:keepNext w:val="0"/>
        <w:keepLines w:val="0"/>
        <w:widowControl w:val="1"/>
      </w:pPr>
      <w:bookmarkStart w:id="120" w:name="ref-csp-cgd-2023"/>
      <w:r>
        <w:t xml:space="preserve">Arnold, J. E., &amp; Day, G. M. (2023). Crystal Structure Prediction of Energetic Materials.</w:t>
      </w:r>
      <w:r>
        <w:t xml:space="preserve"> </w:t>
      </w:r>
      <w:r>
        <w:rPr>
          <w:i/>
          <w:iCs/>
        </w:rPr>
        <w:t xml:space="preserve">Crystal Growth &amp; Design</w:t>
      </w:r>
      <w:r>
        <w:t xml:space="preserve">. doi:10.1021/acs.cgd.3c00706.</w:t>
      </w:r>
      <w:bookmarkEnd w:id="120"/>
    </w:p>
    <w:p>
      <w:pPr>
        <w:pStyle w:val="ReferenceEntry"/>
        <w:numPr>
          <w:ilvl w:val="0"/>
          <w:numId w:val="1004"/>
        </w:numPr>
        <w:jc w:val="left"/>
        <w:keepNext w:val="0"/>
        <w:keepLines w:val="0"/>
        <w:widowControl w:val="1"/>
      </w:pPr>
      <w:bookmarkStart w:id="121" w:name="ref-mlcrystdens-cm-2024"/>
      <w:r>
        <w:t xml:space="preserve">Davis, J. V., Marrs III, F. W., Cawkwell, M. J., &amp; Manner, V. W. (2024). Machine Learning Models for High Explosive Crystal Density and Performance.</w:t>
      </w:r>
      <w:r>
        <w:t xml:space="preserve"> </w:t>
      </w:r>
      <w:r>
        <w:rPr>
          <w:i/>
          <w:iCs/>
        </w:rPr>
        <w:t xml:space="preserve">Chemistry of Materials 36(22)</w:t>
      </w:r>
      <w:r>
        <w:t xml:space="preserve">, 11109–11118. doi:10.1021/acs.chemmater.4c01978.</w:t>
      </w:r>
      <w:bookmarkEnd w:id="121"/>
    </w:p>
    <w:bookmarkEnd w:id="122"/>
    <w:sectPr w:rsidR="00FC693F" w:rsidRPr="0006063C" w:rsidSect="00034616">
      <w:footerReference w:type="default" r:id="rId10"/>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360"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360"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360"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4" Type="http://schemas.openxmlformats.org/officeDocument/2006/relationships/image" Target="media/rId24.png"/><Relationship Id="rId39" Type="http://schemas.openxmlformats.org/officeDocument/2006/relationships/image" Target="media/rId39.png"/><Relationship Id="rId27" Type="http://schemas.openxmlformats.org/officeDocument/2006/relationships/image" Target="media/rId27.png"/><Relationship Id="rId12" Type="http://schemas.openxmlformats.org/officeDocument/2006/relationships/image" Target="media/rId12.png"/><Relationship Id="rId9" Type="http://schemas.openxmlformats.org/officeDocument/2006/relationships/hyperlink" Target="NMIPaper.html" TargetMode="External"/><Relationship Id="rId108" Type="http://schemas.openxmlformats.org/officeDocument/2006/relationships/hyperlink" Target="https://cameochemicals.noaa.gov" TargetMode="External"/><Relationship Id="rId20" Type="http://schemas.openxmlformats.org/officeDocument/2006/relationships/hyperlink" Target="https://github.com/grimme-lab/xtb" TargetMode="External"/><Relationship Id="rId59" Type="http://schemas.openxmlformats.org/officeDocument/2006/relationships/hyperlink" Target="https://www.daylight.com/dayhtml/doc/theory/theory.smarts.html" TargetMode="External"/><Relationship Id="rId82" Type="http://schemas.openxmlformats.org/officeDocument/2006/relationships/hyperlink" Target="https://www.rdkit.org"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NMIPaper.html" TargetMode="External"/><Relationship Id="rId108" Type="http://schemas.openxmlformats.org/officeDocument/2006/relationships/hyperlink" Target="https://cameochemicals.noaa.gov" TargetMode="External"/><Relationship Id="rId20" Type="http://schemas.openxmlformats.org/officeDocument/2006/relationships/hyperlink" Target="https://github.com/grimme-lab/xtb" TargetMode="External"/><Relationship Id="rId59" Type="http://schemas.openxmlformats.org/officeDocument/2006/relationships/hyperlink" Target="https://www.daylight.com/dayhtml/doc/theory/theory.smarts.html" TargetMode="External"/><Relationship Id="rId82"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2026-05-10T08:21:33Z</dcterms:created>
  <dcterms:modified xsi:type="dcterms:W3CDTF">2026-05-10T08:21:33Z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