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The design of new high-energy-density materials is a data-limited inverse-design problem: of roughly 66,000 CHNO molecules with reported detonation properties, only about 3,000 carry trustworthy experimental or quantum-chemistry values, so models trained on the full mixture memorise the high-performance tail or extrapolate without calibration. We introduce Domain-Gated Latent Diffusion (DGLD) , coupling generative design to first-principles validation. A four-tier label-trust gate routes only high-quality labels into the conditional gradient while noisy labels train the unconditional prior; a score model adds switchable sample-time steering over viability, sensitivity, and hazard; and a four-stage funnel (SMARTS substructure filter, Pareto reranker, GFN2-xTB triage, and two-level DFT: B3LYP/6-31G(d) geometry, ωB97X-D3BJ/def2-TZVP single-point) validates every candidate. DGLD yields 11 unique DFT-confirmed novel leads; the headline compound, 3,4,5-trinitro-1,2-isoxazole, reaches a calibrated density of 2.09 g cm −3 and a Kamlet–Jacobs detonation velocity of 8.25 km s −1 while remaining structurally distinct from all 65,980 training molecules (nearest-neighbour Tanimoto 0.27). On the same recipe the HMX and PETN anchors calibrate to 7.52 and 8.24 km s −1 , ranking it with the strongest anchors on that scale. Against four baselines on the same corpus, DGLD is the only method whose novel candidates stay competitive under DFT validation. The recipe is domain-agnostic; code, model checkpoints, and 918 mined hard negatives are released openly.</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 a surrogate</w:t>
      </w:r>
      <w:r>
        <w:t xml:space="preserve"> </w:t>
      </w:r>
      <m:oMath>
        <m:r>
          <m:t>D</m:t>
        </m:r>
        <m:r>
          <m:rPr>
            <m:sty m:val="p"/>
          </m:rPr>
          <m:t>=</m:t>
        </m:r>
        <m:r>
          <m:t>9.02</m:t>
        </m:r>
      </m:oMath>
      <w:r>
        <w:t xml:space="preserve"> km s</w:t>
      </w:r>
      <w:r>
        <w:rPr>
          <w:vertAlign w:val="superscript"/>
        </w:rPr>
        <w:t xml:space="preserve">−1</w:t>
      </w:r>
      <w:r>
        <w:t xml:space="preserve"> </w:t>
      </w:r>
      <w:r>
        <w:t xml:space="preserve">that was not DFT-audited. 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(DGLD points on the</w:t>
      </w:r>
      <w:r>
        <w:t xml:space="preserve"> </w:t>
      </w:r>
      <m:oMath>
        <m:r>
          <m:t>D</m:t>
        </m:r>
      </m:oMath>
      <w:r>
        <w:t xml:space="preserve"> </w:t>
      </w:r>
      <w:r>
        <w:t xml:space="preserve">panel are Uni-Mol surrogate scores and the anchors are at their reported literature</w:t>
      </w:r>
      <w:r>
        <w:t xml:space="preserve"> </w:t>
      </w:r>
      <m:oMath>
        <m:r>
          <m:t>D</m:t>
        </m:r>
      </m:oMath>
      <w:r>
        <w:t xml:space="preserve">; only the DFT-calibrated Kamlet–Jacobs values for the DGLD leads, in Table 2, are directly scale-matched to the anchors).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(Uni-Mol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4.1).</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Uni-Mol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E1 (1,2,3,5-oxatriazole family,</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is a further lead from a chemically distinct family, pending addition of an oxatriazole-class DFT anchor (Section 3); the extension set spans eight Bemis–Murcko scaffolds across seven chemotype families.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w:t>
      </w:r>
      <w:r>
        <w:t xml:space="preserve"> </w:t>
      </w:r>
      <w:hyperlink w:anchor="ref-bondi1964vdw">
        <w:r>
          <w:rPr>
            <w:rStyle w:val="Hyperlink"/>
          </w:rPr>
          <w:t xml:space="preserve">[41]</w:t>
        </w:r>
      </w:hyperlink>
      <w:r>
        <w:t xml:space="preserve"> </w:t>
      </w:r>
      <w:r>
        <w:t xml:space="preserve">+ 6-anchor-calibration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[42]</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[43]</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[44]</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[45]</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[43]</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[46]</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[47]</w:t>
        </w:r>
      </w:hyperlink>
      <w:r>
        <w:t xml:space="preserve"> </w:t>
      </w:r>
      <w:r>
        <w:t xml:space="preserve">remains a strong message-passing-graph default; SchNet</w:t>
      </w:r>
      <w:r>
        <w:t xml:space="preserve"> </w:t>
      </w:r>
      <w:hyperlink w:anchor="ref-schutt2018schnet">
        <w:r>
          <w:rPr>
            <w:rStyle w:val="Hyperlink"/>
          </w:rPr>
          <w:t xml:space="preserve">[48]</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[49]</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[50]</w:t>
        </w:r>
      </w:hyperlink>
      <w:r>
        <w:t xml:space="preserve"> </w:t>
      </w:r>
      <w:r>
        <w:t xml:space="preserve">and GuacaMol</w:t>
      </w:r>
      <w:r>
        <w:t xml:space="preserve"> </w:t>
      </w:r>
      <w:hyperlink w:anchor="ref-brown2019guacamol">
        <w:r>
          <w:rPr>
            <w:rStyle w:val="Hyperlink"/>
          </w:rPr>
          <w:t xml:space="preserve">[51]</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[52]</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[53]</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[54]</w:t>
        </w:r>
      </w:hyperlink>
      <w:r>
        <w:t xml:space="preserve">+PubChem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[55]</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[56]</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[57]</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[58]</w:t>
        </w:r>
      </w:hyperlink>
      <w:r>
        <w:t xml:space="preserve"> </w:t>
      </w:r>
      <w:r>
        <w:t xml:space="preserve">is the semi-empirical tight-binding method we use for sample-time HOMO–LUMO gap triage on top leads (Section 2.3, Supplementary Section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[59]</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[60]</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[61]</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S5)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Twelve DGLD lead cards in a 3-by-4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Twelve chem-pass DGLD leads (L1–L5, L9, L11, L13, L16, L18, L19, L20). Each card shows the RDKit 2D depiction, chemotype label, molecular formula, and 6-anchor-calibrated DFT/Kamlet–Jacobs (</w:t>
      </w:r>
      <m:oMath>
        <m:r>
          <m:t>ρ</m:t>
        </m:r>
      </m:oMath>
      <w:r>
        <w:t xml:space="preserve">,</w:t>
      </w:r>
      <w:r>
        <w:t xml:space="preserve"> </w:t>
      </w:r>
      <m:oMath>
        <m:r>
          <m:t>D</m:t>
        </m:r>
      </m:oMath>
      <w:r>
        <w:t xml:space="preserve">,</w:t>
      </w:r>
      <w:r>
        <w:t xml:space="preserve"> </w:t>
      </w:r>
      <m:oMath>
        <m:r>
          <m:t>P</m:t>
        </m:r>
      </m:oMath>
      <w:r>
        <w:t xml:space="preserve">) values. The dark circle (top-left) shows the Pareto rank within the merged top-100; “?” indicates a lead (L20) added from the pool=80k extension set and not assigned a top-100 rank. Top-5 leads (L1–L5) additionally show composite score</w:t>
      </w:r>
      <w:r>
        <w:t xml:space="preserve"> </w:t>
      </w:r>
      <m:oMath>
        <m:r>
          <m:t>S</m:t>
        </m:r>
      </m:oMath>
      <w:r>
        <w:t xml:space="preserve"> </w:t>
      </w:r>
      <w:r>
        <w:t xml:space="preserve">and drop-weight impact sensitivity</w:t>
      </w:r>
      <w:r>
        <w:t xml:space="preserve"> </w:t>
      </w:r>
      <m:oMath>
        <m:sSub>
          <m:e>
            <m:r>
              <m:t>h</m:t>
            </m:r>
          </m:e>
          <m:sub>
            <m:r>
              <m:t>50</m:t>
            </m:r>
          </m:sub>
        </m:sSub>
      </m:oMath>
      <w:r>
        <w:t xml:space="preserve">. Border colour: green = xTB HOMO–LUMO gap</w:t>
      </w:r>
      <w:r>
        <w:t xml:space="preserve"> </w:t>
      </w:r>
      <m:oMath>
        <m:r>
          <m:rPr>
            <m:sty m:val="p"/>
          </m:rPr>
          <m:t>≥</m:t>
        </m:r>
        <m:r>
          <m:t>1.5</m:t>
        </m:r>
      </m:oMath>
      <w:r>
        <w:t xml:space="preserve"> eV (electronic-stability pass); red = gap</w:t>
      </w:r>
      <w:r>
        <w:t xml:space="preserve"> </w:t>
      </w:r>
      <m:oMath>
        <m:r>
          <m:rPr>
            <m:sty m:val="p"/>
          </m:rPr>
          <m:t>&lt;</m:t>
        </m:r>
        <m:r>
          <m:t>1.5</m:t>
        </m:r>
      </m:oMath>
      <w:r>
        <w:t xml:space="preserve"> eV (electronic-stability fail).</w:t>
      </w:r>
    </w:p>
    <w:p>
      <w:pPr>
        <w:pStyle w:val="MDPI31text"/>
        <w:ind w:left="2608"/>
      </w:pPr>
      <w:r>
        <w:t xml:space="preserve">The top-five leads (Figure 3,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Supplementary Section C.5. The candidates that do not advance to Stage 4 are accounted for in Supplementary Section C.5 (45 removed at the Stage-2 hard filters; 28 fail K-J/imaginary-frequency/composition gates).</w:t>
      </w:r>
    </w:p>
    <w:p>
      <w:pPr>
        <w:pStyle w:val="MDPI31text"/>
        <w:ind w:left="2608"/>
      </w:pPr>
      <w:r>
        <w:rPr>
          <w:b/>
          <w:bCs/>
        </w:rPr>
        <w:t xml:space="preserve">6-anchor calibration (Table 1).</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12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Uni-Mol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Uni-Mol-predicted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residual vs N-fraction with linear fit and Pearson</w:t>
      </w:r>
      <w:r>
        <w:t xml:space="preserve"> </w:t>
      </w:r>
      <m:oMath>
        <m:r>
          <m:t>r</m:t>
        </m:r>
      </m:oMath>
      <w:r>
        <w:t xml:space="preserve"> </w:t>
      </w:r>
      <w:r>
        <w:t xml:space="preserve">(575-row Tier-A pool, see Table S12).</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Uni-Mol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28.1</w:t>
            </w:r>
          </w:p>
        </w:tc>
        <w:tc>
          <w:tcPr>
            <w:vAlign w:val="center"/>
          </w:tcPr>
          <w:p>
            <w:pPr>
              <w:pStyle w:val="Compact"/>
              <w:suppressAutoHyphens/>
              <w:jc w:val="center"/>
            </w:pPr>
            <w:r>
              <w:rPr>
                <w:sz w:val="18"/>
                <w:szCs w:val="18"/>
              </w:rPr>
              <w:t xml:space="preserve">±2.3</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2.86</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7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augmented-corpus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[60]</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4).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Supplementary Section D.14. The 1/12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5 and 6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(second-family candidate).</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 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and E1 are the two top-ranked leads, from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(head-to-head in Supplementary Section F.4).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Supplementary Section E 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12 DFT-confirmed lead cards (11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L2–L5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L1–L5 from Section 2.2 prose;</w:t>
      </w:r>
      <w:r>
        <w:t xml:space="preserve"> </w:t>
      </w:r>
      <m:oMath>
        <m:sSub>
          <m:e>
            <m:r>
              <m:t>h</m:t>
            </m:r>
          </m:e>
          <m:sub>
            <m:r>
              <m:t>50</m:t>
            </m:r>
          </m:sub>
        </m:sSub>
      </m:oMath>
      <w:r>
        <w:t xml:space="preserve"> </w:t>
      </w:r>
      <w:r>
        <w:t xml:space="preserve">from Table S7;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S27.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 Supplementary Section F.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8"/>
        <w:gridCol w:w="1840"/>
        <w:gridCol w:w="3453"/>
        <w:gridCol w:w="104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model-cheat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(4.8×);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S27,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make a latent diffusion model a</w:t>
      </w:r>
      <w:r>
        <w:t xml:space="preserve"> </w:t>
      </w:r>
      <w:r>
        <w:rPr>
          <w:i/>
          <w:iCs/>
        </w:rPr>
        <w:t xml:space="preserve">productive-quadrant generator</w:t>
      </w:r>
      <w:r>
        <w:t xml:space="preserve">: the tier gate keeps miscalibrated labels out of the conditional gradient, so sampling concentrates where candidates are both novel and, under first-principles validation, competitive with the HMX/PETN reference class. The two top-ranked leads, L1 (3,4,5-trinitro-1,2-isoxazole) and E1 (4-nitro-1,2,3,5-oxatriazole), come from disjoint chemotype families on a single sampling run, so DGLD’s productive-quadrant coverage spans multiple scaffold classes.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±0.29 km s</w:t>
      </w:r>
      <w:r>
        <w:rPr>
          <w:vertAlign w:val="superscript"/>
        </w:rPr>
        <w:t xml:space="preserve">−1</w:t>
      </w:r>
      <w:r>
        <w:t xml:space="preserve"> </w:t>
      </w:r>
      <w:r>
        <w:t xml:space="preserve">in</w:t>
      </w:r>
      <w:r>
        <w:t xml:space="preserve"> </w:t>
      </w:r>
      <m:oMath>
        <m:r>
          <m:t>D</m:t>
        </m:r>
      </m:oMath>
      <w:r>
        <w:t xml:space="preserve">, comparable to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[66]</w:t>
        </w:r>
      </w:hyperlink>
      <w:r>
        <w:t xml:space="preserve"> </w:t>
      </w:r>
      <w:r>
        <w:t xml:space="preserve">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DNTF lies outside the calibration's applicability domain (a furazan-class outlier, Supplementary Section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Uni-Mol residual reported in Section 2.3 is consistent with the typical disagreement between Kamlet–Jacobs and full Chapman–Jouguet thermochemical-equilibrium codes (EXPLO5, Sućeska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eleven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Uni-Mol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w:t>
      </w:r>
      <w:r>
        <w:t xml:space="preserve"> </w:t>
      </w:r>
      <w:hyperlink w:anchor="ref-emdb">
        <w:r>
          <w:rPr>
            <w:rStyle w:val="Hyperlink"/>
          </w:rPr>
          <w:t xml:space="preserve">[67]</w:t>
        </w:r>
      </w:hyperlink>
      <w:r>
        <w:t xml:space="preserve">;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(Uni-Mol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[68]</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S2.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S2.</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S3.</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S3).</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S3.</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S3.</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The combination is a post-decode union of the two lanes' SMILES pools, with no weight interpolation or output averaging.</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Uni-Mol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[43]</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[69]</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S4.</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[70]</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[55]</w:t>
        </w:r>
      </w:hyperlink>
      <w:r>
        <w:t xml:space="preserve"> </w:t>
      </w:r>
      <m:oMath>
        <m:r>
          <m:rPr>
            <m:sty m:val="p"/>
          </m:rPr>
          <m:t>≤</m:t>
        </m:r>
      </m:oMath>
      <w:r>
        <w:t xml:space="preserve"> 5.0 and SCScore</w:t>
      </w:r>
      <w:r>
        <w:t xml:space="preserve"> </w:t>
      </w:r>
      <w:hyperlink w:anchor="ref-coley2018scscore">
        <w:r>
          <w:rPr>
            <w:rStyle w:val="Hyperlink"/>
          </w:rPr>
          <w:t xml:space="preserve">[56]</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after Stage 1+2 (966 full-filter survivors,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12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(4.8×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model-cheat (gem-tetranitro) furthest, to viability 0.74.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2heading2"/>
        <w:ind w:left="2608"/>
      </w:pPr>
      <w:r>
        <w:t xml:space="preserve">4.16 Baseline generators</w:t>
      </w:r>
    </w:p>
    <w:p>
      <w:pPr>
        <w:pStyle w:val="MDPI32textnoindent"/>
        <w:ind w:left="2608"/>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MDPI31text"/>
        <w:ind w:left="2608"/>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MDPI31text"/>
        <w:ind w:left="2608"/>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MDPI31text"/>
        <w:ind w:left="2608"/>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MDPI31text"/>
        <w:ind w:left="2608"/>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MDPI31text"/>
        <w:ind w:left="2608"/>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flagging E1 as a chemically distinct candidate whose calibrated D is an upper bound pending thermal stability confirmation and a 1,2,3,5-oxatriazole-class DFT anchor (Section 3). L1 and E1 are two leads from two distinct scaffold families produced on a single sampling run, so the productive-quadrant coverage spans multiple chemotypes.</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References</w:t>
      </w:r>
    </w:p>
    <w:p>
      <w:pPr>
        <w:pStyle w:val="MDPI81references"/>
        <w:numPr>
          <w:ilvl w:val="0"/>
          <w:numId w:val="0"/>
        </w:numPr>
        <w:ind w:left="180" w:hanging="180"/>
      </w:pPr>
      <w:bookmarkStart w:id="138"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38"/>
    </w:p>
    <w:p>
      <w:pPr>
        <w:pStyle w:val="MDPI81references"/>
        <w:numPr>
          <w:ilvl w:val="0"/>
          <w:numId w:val="0"/>
        </w:numPr>
        <w:ind w:left="180" w:hanging="180"/>
      </w:pPr>
      <w:bookmarkStart w:id="139"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39"/>
    </w:p>
    <w:p>
      <w:pPr>
        <w:pStyle w:val="MDPI81references"/>
        <w:numPr>
          <w:ilvl w:val="0"/>
          <w:numId w:val="0"/>
        </w:numPr>
        <w:ind w:left="180" w:hanging="180"/>
      </w:pPr>
      <w:bookmarkStart w:id="140" w:name="ref-zhou2023unimol"/>
      <w:r>
        <w:t xml:space="preserve">Zhou, G. et al. (2023). Uni-Mol: A Universal 3D Molecular Representation Learning Framework.</w:t>
      </w:r>
      <w:r>
        <w:t xml:space="preserve"> </w:t>
      </w:r>
      <w:r>
        <w:rPr>
          <w:i/>
          <w:iCs/>
        </w:rPr>
        <w:t xml:space="preserve">ICLR 2023</w:t>
      </w:r>
      <w:r>
        <w:t xml:space="preserve">.</w:t>
      </w:r>
      <w:bookmarkEnd w:id="140"/>
    </w:p>
    <w:p>
      <w:pPr>
        <w:pStyle w:val="MDPI81references"/>
        <w:numPr>
          <w:ilvl w:val="0"/>
          <w:numId w:val="0"/>
        </w:numPr>
        <w:ind w:left="180" w:hanging="180"/>
      </w:pPr>
      <w:bookmarkStart w:id="141" w:name="ref-ho2022cfg"/>
      <w:r>
        <w:t xml:space="preserve">Ho, J., &amp; Salimans, T. (2022). Classifier-Free Diffusion Guidance. arXiv:2207.12598.</w:t>
      </w:r>
      <w:bookmarkEnd w:id="141"/>
    </w:p>
    <w:p>
      <w:pPr>
        <w:pStyle w:val="MDPI81references"/>
        <w:numPr>
          <w:ilvl w:val="0"/>
          <w:numId w:val="0"/>
        </w:numPr>
        <w:ind w:left="180" w:hanging="180"/>
      </w:pPr>
      <w:bookmarkStart w:id="14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2"/>
    </w:p>
    <w:p>
      <w:pPr>
        <w:pStyle w:val="MDPI81references"/>
        <w:numPr>
          <w:ilvl w:val="0"/>
          <w:numId w:val="0"/>
        </w:numPr>
        <w:ind w:left="180" w:hanging="180"/>
      </w:pPr>
      <w:bookmarkStart w:id="14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3"/>
    </w:p>
    <w:p>
      <w:pPr>
        <w:pStyle w:val="MDPI81references"/>
        <w:numPr>
          <w:ilvl w:val="0"/>
          <w:numId w:val="0"/>
        </w:numPr>
        <w:ind w:left="180" w:hanging="180"/>
      </w:pPr>
      <w:bookmarkStart w:id="14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4"/>
    </w:p>
    <w:p>
      <w:pPr>
        <w:pStyle w:val="MDPI81references"/>
        <w:numPr>
          <w:ilvl w:val="0"/>
          <w:numId w:val="0"/>
        </w:numPr>
        <w:ind w:left="180" w:hanging="180"/>
      </w:pPr>
      <w:bookmarkStart w:id="14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5"/>
    </w:p>
    <w:p>
      <w:pPr>
        <w:pStyle w:val="MDPI81references"/>
        <w:numPr>
          <w:ilvl w:val="0"/>
          <w:numId w:val="0"/>
        </w:numPr>
        <w:ind w:left="180" w:hanging="180"/>
      </w:pPr>
      <w:bookmarkStart w:id="146"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6"/>
    </w:p>
    <w:p>
      <w:pPr>
        <w:pStyle w:val="MDPI81references"/>
        <w:numPr>
          <w:ilvl w:val="0"/>
          <w:numId w:val="0"/>
        </w:numPr>
        <w:ind w:left="180" w:hanging="180"/>
      </w:pPr>
      <w:bookmarkStart w:id="14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7"/>
    </w:p>
    <w:p>
      <w:pPr>
        <w:pStyle w:val="MDPI81references"/>
        <w:numPr>
          <w:ilvl w:val="0"/>
          <w:numId w:val="0"/>
        </w:numPr>
        <w:ind w:left="180" w:hanging="180"/>
      </w:pPr>
      <w:bookmarkStart w:id="148" w:name="ref-reidenbach2023molmim"/>
      <w:r>
        <w:t xml:space="preserve">Reidenbach, D., Livne, M., Ilango, R. K., Gill, M., &amp; Israeli, J. (2023). MolMIM: A Molecular Language Model for Property-Guided Molecule Generation via Mutual Information Machines. (MLDD Workshop, ICLR 2023; arXiv:2208.09016).</w:t>
      </w:r>
      <w:bookmarkEnd w:id="148"/>
    </w:p>
    <w:p>
      <w:pPr>
        <w:pStyle w:val="MDPI81references"/>
        <w:numPr>
          <w:ilvl w:val="0"/>
          <w:numId w:val="0"/>
        </w:numPr>
        <w:ind w:left="180" w:hanging="180"/>
      </w:pPr>
      <w:bookmarkStart w:id="149" w:name="ref-jaegle2021perceiver"/>
      <w:r>
        <w:t xml:space="preserve">Jaegle, A. et al. (2021). Perceiver: General Perception with Iterative Attention.</w:t>
      </w:r>
      <w:r>
        <w:t xml:space="preserve"> </w:t>
      </w:r>
      <w:r>
        <w:rPr>
          <w:i/>
          <w:iCs/>
        </w:rPr>
        <w:t xml:space="preserve">ICML 2021</w:t>
      </w:r>
      <w:r>
        <w:t xml:space="preserve">. arXiv:2103.03206.</w:t>
      </w:r>
      <w:bookmarkEnd w:id="149"/>
    </w:p>
    <w:p>
      <w:pPr>
        <w:pStyle w:val="MDPI81references"/>
        <w:numPr>
          <w:ilvl w:val="0"/>
          <w:numId w:val="0"/>
        </w:numPr>
        <w:ind w:left="180" w:hanging="180"/>
      </w:pPr>
      <w:bookmarkStart w:id="15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0"/>
    </w:p>
    <w:p>
      <w:pPr>
        <w:pStyle w:val="MDPI81references"/>
        <w:numPr>
          <w:ilvl w:val="0"/>
          <w:numId w:val="0"/>
        </w:numPr>
        <w:ind w:left="180" w:hanging="180"/>
      </w:pPr>
      <w:bookmarkStart w:id="15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1"/>
    </w:p>
    <w:p>
      <w:pPr>
        <w:pStyle w:val="MDPI81references"/>
        <w:numPr>
          <w:ilvl w:val="0"/>
          <w:numId w:val="0"/>
        </w:numPr>
        <w:ind w:left="180" w:hanging="180"/>
      </w:pPr>
      <w:bookmarkStart w:id="15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2"/>
    </w:p>
    <w:p>
      <w:pPr>
        <w:pStyle w:val="MDPI81references"/>
        <w:numPr>
          <w:ilvl w:val="0"/>
          <w:numId w:val="0"/>
        </w:numPr>
        <w:ind w:left="180" w:hanging="180"/>
      </w:pPr>
      <w:bookmarkStart w:id="15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3"/>
    </w:p>
    <w:p>
      <w:pPr>
        <w:pStyle w:val="MDPI81references"/>
        <w:numPr>
          <w:ilvl w:val="0"/>
          <w:numId w:val="0"/>
        </w:numPr>
        <w:ind w:left="180" w:hanging="180"/>
      </w:pPr>
      <w:bookmarkStart w:id="15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4"/>
    </w:p>
    <w:p>
      <w:pPr>
        <w:pStyle w:val="MDPI81references"/>
        <w:numPr>
          <w:ilvl w:val="0"/>
          <w:numId w:val="0"/>
        </w:numPr>
        <w:ind w:left="180" w:hanging="180"/>
      </w:pPr>
      <w:bookmarkStart w:id="15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5"/>
    </w:p>
    <w:p>
      <w:pPr>
        <w:pStyle w:val="MDPI81references"/>
        <w:numPr>
          <w:ilvl w:val="0"/>
          <w:numId w:val="0"/>
        </w:numPr>
        <w:ind w:left="180" w:hanging="180"/>
      </w:pPr>
      <w:bookmarkStart w:id="15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6"/>
    </w:p>
    <w:p>
      <w:pPr>
        <w:pStyle w:val="MDPI81references"/>
        <w:numPr>
          <w:ilvl w:val="0"/>
          <w:numId w:val="0"/>
        </w:numPr>
        <w:ind w:left="180" w:hanging="180"/>
      </w:pPr>
      <w:bookmarkStart w:id="157" w:name="ref-vignac2023digress"/>
      <w:r>
        <w:t xml:space="preserve">Vignac, C. et al. (2023). DiGress: Discrete Denoising Diffusion for Graph Generation.</w:t>
      </w:r>
      <w:r>
        <w:t xml:space="preserve"> </w:t>
      </w:r>
      <w:r>
        <w:rPr>
          <w:i/>
          <w:iCs/>
        </w:rPr>
        <w:t xml:space="preserve">ICLR 2023</w:t>
      </w:r>
      <w:r>
        <w:t xml:space="preserve">. arXiv:2209.14734.</w:t>
      </w:r>
      <w:bookmarkEnd w:id="157"/>
    </w:p>
    <w:p>
      <w:pPr>
        <w:pStyle w:val="MDPI81references"/>
        <w:numPr>
          <w:ilvl w:val="0"/>
          <w:numId w:val="0"/>
        </w:numPr>
        <w:ind w:left="180" w:hanging="180"/>
      </w:pPr>
      <w:bookmarkStart w:id="158" w:name="ref-ho2020ddpm"/>
      <w:r>
        <w:t xml:space="preserve">Ho, J., Jain, A., &amp; Abbeel, P. (2020). Denoising Diffusion Probabilistic Models.</w:t>
      </w:r>
      <w:r>
        <w:t xml:space="preserve"> </w:t>
      </w:r>
      <w:r>
        <w:rPr>
          <w:i/>
          <w:iCs/>
        </w:rPr>
        <w:t xml:space="preserve">NeurIPS 2020</w:t>
      </w:r>
      <w:r>
        <w:t xml:space="preserve">. arXiv:2006.11239.</w:t>
      </w:r>
      <w:bookmarkEnd w:id="158"/>
    </w:p>
    <w:p>
      <w:pPr>
        <w:pStyle w:val="MDPI81references"/>
        <w:numPr>
          <w:ilvl w:val="0"/>
          <w:numId w:val="0"/>
        </w:numPr>
        <w:ind w:left="180" w:hanging="180"/>
      </w:pPr>
      <w:bookmarkStart w:id="159"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59"/>
    </w:p>
    <w:p>
      <w:pPr>
        <w:pStyle w:val="MDPI81references"/>
        <w:numPr>
          <w:ilvl w:val="0"/>
          <w:numId w:val="0"/>
        </w:numPr>
        <w:ind w:left="180" w:hanging="180"/>
      </w:pPr>
      <w:bookmarkStart w:id="160"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0"/>
    </w:p>
    <w:p>
      <w:pPr>
        <w:pStyle w:val="MDPI81references"/>
        <w:numPr>
          <w:ilvl w:val="0"/>
          <w:numId w:val="0"/>
        </w:numPr>
        <w:ind w:left="180" w:hanging="180"/>
      </w:pPr>
      <w:bookmarkStart w:id="161"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1"/>
    </w:p>
    <w:p>
      <w:pPr>
        <w:pStyle w:val="MDPI81references"/>
        <w:numPr>
          <w:ilvl w:val="0"/>
          <w:numId w:val="0"/>
        </w:numPr>
        <w:ind w:left="180" w:hanging="180"/>
      </w:pPr>
      <w:bookmarkStart w:id="16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2"/>
    </w:p>
    <w:p>
      <w:pPr>
        <w:pStyle w:val="MDPI81references"/>
        <w:numPr>
          <w:ilvl w:val="0"/>
          <w:numId w:val="0"/>
        </w:numPr>
        <w:ind w:left="180" w:hanging="180"/>
      </w:pPr>
      <w:bookmarkStart w:id="163"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3"/>
    </w:p>
    <w:p>
      <w:pPr>
        <w:pStyle w:val="MDPI81references"/>
        <w:numPr>
          <w:ilvl w:val="0"/>
          <w:numId w:val="0"/>
        </w:numPr>
        <w:ind w:left="180" w:hanging="180"/>
      </w:pPr>
      <w:bookmarkStart w:id="164"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4"/>
    </w:p>
    <w:p>
      <w:pPr>
        <w:pStyle w:val="MDPI81references"/>
        <w:numPr>
          <w:ilvl w:val="0"/>
          <w:numId w:val="0"/>
        </w:numPr>
        <w:ind w:left="180" w:hanging="180"/>
      </w:pPr>
      <w:bookmarkStart w:id="16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5"/>
    </w:p>
    <w:p>
      <w:pPr>
        <w:pStyle w:val="MDPI81references"/>
        <w:numPr>
          <w:ilvl w:val="0"/>
          <w:numId w:val="0"/>
        </w:numPr>
        <w:ind w:left="180" w:hanging="180"/>
      </w:pPr>
      <w:bookmarkStart w:id="16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6"/>
    </w:p>
    <w:p>
      <w:pPr>
        <w:pStyle w:val="MDPI81references"/>
        <w:numPr>
          <w:ilvl w:val="0"/>
          <w:numId w:val="0"/>
        </w:numPr>
        <w:ind w:left="180" w:hanging="180"/>
      </w:pPr>
      <w:bookmarkStart w:id="167"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67"/>
    </w:p>
    <w:p>
      <w:pPr>
        <w:pStyle w:val="MDPI81references"/>
        <w:numPr>
          <w:ilvl w:val="0"/>
          <w:numId w:val="0"/>
        </w:numPr>
        <w:ind w:left="180" w:hanging="180"/>
      </w:pPr>
      <w:bookmarkStart w:id="16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68"/>
    </w:p>
    <w:p>
      <w:pPr>
        <w:pStyle w:val="MDPI81references"/>
        <w:numPr>
          <w:ilvl w:val="0"/>
          <w:numId w:val="0"/>
        </w:numPr>
        <w:ind w:left="180" w:hanging="180"/>
      </w:pPr>
      <w:bookmarkStart w:id="16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69"/>
    </w:p>
    <w:p>
      <w:pPr>
        <w:pStyle w:val="MDPI81references"/>
        <w:numPr>
          <w:ilvl w:val="0"/>
          <w:numId w:val="0"/>
        </w:numPr>
        <w:ind w:left="180" w:hanging="180"/>
      </w:pPr>
      <w:bookmarkStart w:id="17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0"/>
    </w:p>
    <w:p>
      <w:pPr>
        <w:pStyle w:val="MDPI81references"/>
        <w:numPr>
          <w:ilvl w:val="0"/>
          <w:numId w:val="0"/>
        </w:numPr>
        <w:ind w:left="180" w:hanging="180"/>
      </w:pPr>
      <w:bookmarkStart w:id="171"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1"/>
    </w:p>
    <w:p>
      <w:pPr>
        <w:pStyle w:val="MDPI81references"/>
        <w:numPr>
          <w:ilvl w:val="0"/>
          <w:numId w:val="0"/>
        </w:numPr>
        <w:ind w:left="180" w:hanging="180"/>
      </w:pPr>
      <w:bookmarkStart w:id="172"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2"/>
    </w:p>
    <w:p>
      <w:pPr>
        <w:pStyle w:val="MDPI81references"/>
        <w:numPr>
          <w:ilvl w:val="0"/>
          <w:numId w:val="0"/>
        </w:numPr>
        <w:ind w:left="180" w:hanging="180"/>
      </w:pPr>
      <w:bookmarkStart w:id="173"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3"/>
    </w:p>
    <w:p>
      <w:pPr>
        <w:pStyle w:val="MDPI81references"/>
        <w:numPr>
          <w:ilvl w:val="0"/>
          <w:numId w:val="0"/>
        </w:numPr>
        <w:ind w:left="180" w:hanging="180"/>
      </w:pPr>
      <w:bookmarkStart w:id="17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4"/>
    </w:p>
    <w:p>
      <w:pPr>
        <w:pStyle w:val="MDPI81references"/>
        <w:numPr>
          <w:ilvl w:val="0"/>
          <w:numId w:val="0"/>
        </w:numPr>
        <w:ind w:left="180" w:hanging="180"/>
      </w:pPr>
      <w:bookmarkStart w:id="17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5"/>
    </w:p>
    <w:p>
      <w:pPr>
        <w:pStyle w:val="MDPI81references"/>
        <w:numPr>
          <w:ilvl w:val="0"/>
          <w:numId w:val="0"/>
        </w:numPr>
        <w:ind w:left="180" w:hanging="180"/>
      </w:pPr>
      <w:bookmarkStart w:id="176"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6"/>
    </w:p>
    <w:p>
      <w:pPr>
        <w:pStyle w:val="MDPI81references"/>
        <w:numPr>
          <w:ilvl w:val="0"/>
          <w:numId w:val="0"/>
        </w:numPr>
        <w:ind w:left="180" w:hanging="180"/>
      </w:pPr>
      <w:bookmarkStart w:id="177"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77"/>
    </w:p>
    <w:p>
      <w:pPr>
        <w:pStyle w:val="MDPI81references"/>
        <w:numPr>
          <w:ilvl w:val="0"/>
          <w:numId w:val="0"/>
        </w:numPr>
        <w:ind w:left="180" w:hanging="180"/>
      </w:pPr>
      <w:bookmarkStart w:id="178" w:name="ref-bondi1964vdw"/>
      <w:r>
        <w:t xml:space="preserve">Bondi, A. (1964). van der Waals Volumes and Radii.</w:t>
      </w:r>
      <w:r>
        <w:t xml:space="preserve"> </w:t>
      </w:r>
      <w:r>
        <w:rPr>
          <w:i/>
          <w:iCs/>
        </w:rPr>
        <w:t xml:space="preserve">J. Phys. Chem. 68(3)</w:t>
      </w:r>
      <w:r>
        <w:t xml:space="preserve">:441–451. doi:10.1021/j100785a001.</w:t>
      </w:r>
      <w:bookmarkEnd w:id="178"/>
    </w:p>
    <w:p>
      <w:pPr>
        <w:pStyle w:val="MDPI81references"/>
        <w:numPr>
          <w:ilvl w:val="0"/>
          <w:numId w:val="0"/>
        </w:numPr>
        <w:ind w:left="180" w:hanging="180"/>
      </w:pPr>
      <w:bookmarkStart w:id="179"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79"/>
    </w:p>
    <w:p>
      <w:pPr>
        <w:pStyle w:val="MDPI81references"/>
        <w:numPr>
          <w:ilvl w:val="0"/>
          <w:numId w:val="0"/>
        </w:numPr>
        <w:ind w:left="180" w:hanging="180"/>
      </w:pPr>
      <w:bookmarkStart w:id="180"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0"/>
    </w:p>
    <w:p>
      <w:pPr>
        <w:pStyle w:val="MDPI81references"/>
        <w:numPr>
          <w:ilvl w:val="0"/>
          <w:numId w:val="0"/>
        </w:numPr>
        <w:ind w:left="180" w:hanging="180"/>
      </w:pPr>
      <w:bookmarkStart w:id="181" w:name="ref-klapotke2017nitrogen"/>
      <w:r>
        <w:t xml:space="preserve">Klapötke, T. M.</w:t>
      </w:r>
      <w:r>
        <w:t xml:space="preserve"> </w:t>
      </w:r>
      <w:r>
        <w:rPr>
          <w:i/>
          <w:iCs/>
        </w:rPr>
        <w:t xml:space="preserve">Chemistry of High-Energy Materials</w:t>
      </w:r>
      <w:r>
        <w:t xml:space="preserve">, 5th ed. (de Gruyter, 2019). doi:10.1515/9783110624571.</w:t>
      </w:r>
      <w:bookmarkEnd w:id="181"/>
    </w:p>
    <w:p>
      <w:pPr>
        <w:pStyle w:val="MDPI81references"/>
        <w:numPr>
          <w:ilvl w:val="0"/>
          <w:numId w:val="0"/>
        </w:numPr>
        <w:ind w:left="180" w:hanging="180"/>
      </w:pPr>
      <w:bookmarkStart w:id="182"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2"/>
    </w:p>
    <w:p>
      <w:pPr>
        <w:pStyle w:val="MDPI81references"/>
        <w:numPr>
          <w:ilvl w:val="0"/>
          <w:numId w:val="0"/>
        </w:numPr>
        <w:ind w:left="180" w:hanging="180"/>
      </w:pPr>
      <w:bookmarkStart w:id="183"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3"/>
    </w:p>
    <w:p>
      <w:pPr>
        <w:pStyle w:val="MDPI81references"/>
        <w:numPr>
          <w:ilvl w:val="0"/>
          <w:numId w:val="0"/>
        </w:numPr>
        <w:ind w:left="180" w:hanging="180"/>
      </w:pPr>
      <w:bookmarkStart w:id="18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4"/>
    </w:p>
    <w:p>
      <w:pPr>
        <w:pStyle w:val="MDPI81references"/>
        <w:numPr>
          <w:ilvl w:val="0"/>
          <w:numId w:val="0"/>
        </w:numPr>
        <w:ind w:left="180" w:hanging="180"/>
      </w:pPr>
      <w:bookmarkStart w:id="18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5"/>
    </w:p>
    <w:p>
      <w:pPr>
        <w:pStyle w:val="MDPI81references"/>
        <w:numPr>
          <w:ilvl w:val="0"/>
          <w:numId w:val="0"/>
        </w:numPr>
        <w:ind w:left="180" w:hanging="180"/>
      </w:pPr>
      <w:bookmarkStart w:id="18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6"/>
    </w:p>
    <w:p>
      <w:pPr>
        <w:pStyle w:val="MDPI81references"/>
        <w:numPr>
          <w:ilvl w:val="0"/>
          <w:numId w:val="0"/>
        </w:numPr>
        <w:ind w:left="180" w:hanging="180"/>
      </w:pPr>
      <w:bookmarkStart w:id="187"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7"/>
    </w:p>
    <w:p>
      <w:pPr>
        <w:pStyle w:val="MDPI81references"/>
        <w:numPr>
          <w:ilvl w:val="0"/>
          <w:numId w:val="0"/>
        </w:numPr>
        <w:ind w:left="180" w:hanging="180"/>
      </w:pPr>
      <w:bookmarkStart w:id="188"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8"/>
    </w:p>
    <w:p>
      <w:pPr>
        <w:pStyle w:val="MDPI81references"/>
        <w:numPr>
          <w:ilvl w:val="0"/>
          <w:numId w:val="0"/>
        </w:numPr>
        <w:ind w:left="180" w:hanging="180"/>
      </w:pPr>
      <w:bookmarkStart w:id="189"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89"/>
    </w:p>
    <w:p>
      <w:pPr>
        <w:pStyle w:val="MDPI81references"/>
        <w:numPr>
          <w:ilvl w:val="0"/>
          <w:numId w:val="0"/>
        </w:numPr>
        <w:ind w:left="180" w:hanging="180"/>
      </w:pPr>
      <w:bookmarkStart w:id="190" w:name="ref-reymond2015gdb"/>
      <w:r>
        <w:t xml:space="preserve">Reymond, J.-L. (2015). The chemical space project.</w:t>
      </w:r>
      <w:r>
        <w:t xml:space="preserve"> </w:t>
      </w:r>
      <w:r>
        <w:rPr>
          <w:i/>
          <w:iCs/>
        </w:rPr>
        <w:t xml:space="preserve">Acc. Chem. Res. 48(3)</w:t>
      </w:r>
      <w:r>
        <w:t xml:space="preserve">:722–730.</w:t>
      </w:r>
      <w:bookmarkEnd w:id="190"/>
    </w:p>
    <w:p>
      <w:pPr>
        <w:pStyle w:val="MDPI81references"/>
        <w:numPr>
          <w:ilvl w:val="0"/>
          <w:numId w:val="0"/>
        </w:numPr>
        <w:ind w:left="180" w:hanging="180"/>
      </w:pPr>
      <w:bookmarkStart w:id="191" w:name="ref-sterling2015zinc"/>
      <w:r>
        <w:t xml:space="preserve">Sterling, T., &amp; Irwin, J. J. (2015). ZINC 15: Ligand Discovery for Everyone.</w:t>
      </w:r>
      <w:r>
        <w:t xml:space="preserve"> </w:t>
      </w:r>
      <w:r>
        <w:rPr>
          <w:i/>
          <w:iCs/>
        </w:rPr>
        <w:t xml:space="preserve">J. Chem. Inf. Model. 55(11)</w:t>
      </w:r>
      <w:r>
        <w:t xml:space="preserve">:2324–2337.</w:t>
      </w:r>
      <w:bookmarkEnd w:id="191"/>
    </w:p>
    <w:p>
      <w:pPr>
        <w:pStyle w:val="MDPI81references"/>
        <w:numPr>
          <w:ilvl w:val="0"/>
          <w:numId w:val="0"/>
        </w:numPr>
        <w:ind w:left="180" w:hanging="180"/>
      </w:pPr>
      <w:bookmarkStart w:id="192"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2"/>
    </w:p>
    <w:p>
      <w:pPr>
        <w:pStyle w:val="MDPI81references"/>
        <w:numPr>
          <w:ilvl w:val="0"/>
          <w:numId w:val="0"/>
        </w:numPr>
        <w:ind w:left="180" w:hanging="180"/>
      </w:pPr>
      <w:bookmarkStart w:id="193"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3"/>
    </w:p>
    <w:p>
      <w:pPr>
        <w:pStyle w:val="MDPI81references"/>
        <w:numPr>
          <w:ilvl w:val="0"/>
          <w:numId w:val="0"/>
        </w:numPr>
        <w:ind w:left="180" w:hanging="180"/>
      </w:pPr>
      <w:bookmarkStart w:id="194" w:name="ref-rogers1960computer"/>
      <w:r>
        <w:t xml:space="preserve">Rogers, D. J., &amp; Tanimoto, T. T. (1960). A Computer Program for Classifying Plants.</w:t>
      </w:r>
      <w:r>
        <w:t xml:space="preserve"> </w:t>
      </w:r>
      <w:r>
        <w:rPr>
          <w:i/>
          <w:iCs/>
        </w:rPr>
        <w:t xml:space="preserve">Science 132(3434)</w:t>
      </w:r>
      <w:r>
        <w:t xml:space="preserve">:1115–1118.</w:t>
      </w:r>
      <w:bookmarkEnd w:id="194"/>
    </w:p>
    <w:p>
      <w:pPr>
        <w:pStyle w:val="MDPI81references"/>
        <w:numPr>
          <w:ilvl w:val="0"/>
          <w:numId w:val="0"/>
        </w:numPr>
        <w:ind w:left="180" w:hanging="180"/>
      </w:pPr>
      <w:bookmarkStart w:id="195"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5"/>
    </w:p>
    <w:p>
      <w:pPr>
        <w:pStyle w:val="MDPI81references"/>
        <w:numPr>
          <w:ilvl w:val="0"/>
          <w:numId w:val="0"/>
        </w:numPr>
        <w:ind w:left="180" w:hanging="180"/>
      </w:pPr>
      <w:bookmarkStart w:id="196"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6"/>
    </w:p>
    <w:p>
      <w:pPr>
        <w:pStyle w:val="MDPI81references"/>
        <w:numPr>
          <w:ilvl w:val="0"/>
          <w:numId w:val="0"/>
        </w:numPr>
        <w:ind w:left="180" w:hanging="180"/>
      </w:pPr>
      <w:bookmarkStart w:id="197"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7"/>
    </w:p>
    <w:p>
      <w:pPr>
        <w:pStyle w:val="MDPI81references"/>
        <w:numPr>
          <w:ilvl w:val="0"/>
          <w:numId w:val="0"/>
        </w:numPr>
        <w:ind w:left="180" w:hanging="180"/>
      </w:pPr>
      <w:bookmarkStart w:id="198"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8"/>
    </w:p>
    <w:p>
      <w:pPr>
        <w:pStyle w:val="MDPI81references"/>
        <w:numPr>
          <w:ilvl w:val="0"/>
          <w:numId w:val="0"/>
        </w:numPr>
        <w:ind w:left="180" w:hanging="180"/>
      </w:pPr>
      <w:bookmarkStart w:id="199"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99"/>
    </w:p>
    <w:p>
      <w:pPr>
        <w:pStyle w:val="MDPI81references"/>
        <w:numPr>
          <w:ilvl w:val="0"/>
          <w:numId w:val="0"/>
        </w:numPr>
        <w:ind w:left="180" w:hanging="180"/>
      </w:pPr>
      <w:bookmarkStart w:id="20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0"/>
    </w:p>
    <w:p>
      <w:pPr>
        <w:pStyle w:val="MDPI81references"/>
        <w:numPr>
          <w:ilvl w:val="0"/>
          <w:numId w:val="0"/>
        </w:numPr>
        <w:ind w:left="180" w:hanging="180"/>
      </w:pPr>
      <w:bookmarkStart w:id="201"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1"/>
    </w:p>
    <w:p>
      <w:pPr>
        <w:pStyle w:val="MDPI81references"/>
        <w:numPr>
          <w:ilvl w:val="0"/>
          <w:numId w:val="0"/>
        </w:numPr>
        <w:ind w:left="180" w:hanging="180"/>
      </w:pPr>
      <w:bookmarkStart w:id="202" w:name="ref-kim2023pubchem"/>
      <w:r>
        <w:t xml:space="preserve">Kim, S. et al. (2023). PubChem 2023 Update.</w:t>
      </w:r>
      <w:r>
        <w:t xml:space="preserve"> </w:t>
      </w:r>
      <w:r>
        <w:rPr>
          <w:i/>
          <w:iCs/>
        </w:rPr>
        <w:t xml:space="preserve">Nucleic Acids Res. 51(D1)</w:t>
      </w:r>
      <w:r>
        <w:t xml:space="preserve">:D1373–D1380.</w:t>
      </w:r>
      <w:bookmarkEnd w:id="202"/>
    </w:p>
    <w:p>
      <w:pPr>
        <w:pStyle w:val="MDPI81references"/>
        <w:numPr>
          <w:ilvl w:val="0"/>
          <w:numId w:val="0"/>
        </w:numPr>
        <w:ind w:left="180" w:hanging="180"/>
      </w:pPr>
      <w:bookmarkStart w:id="203"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03"/>
    </w:p>
    <w:p>
      <w:pPr>
        <w:pStyle w:val="MDPI81references"/>
        <w:numPr>
          <w:ilvl w:val="0"/>
          <w:numId w:val="0"/>
        </w:numPr>
        <w:ind w:left="180" w:hanging="180"/>
      </w:pPr>
      <w:bookmarkStart w:id="204"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04"/>
    </w:p>
    <w:p>
      <w:pPr>
        <w:pStyle w:val="MDPI81references"/>
        <w:numPr>
          <w:ilvl w:val="0"/>
          <w:numId w:val="0"/>
        </w:numPr>
        <w:ind w:left="180" w:hanging="180"/>
      </w:pPr>
      <w:bookmarkStart w:id="206" w:name="ref-landrum2024rdkit"/>
      <w:r>
        <w:t xml:space="preserve">Landrum, G., &amp; contributors. RDKit: Open-source cheminformatics.</w:t>
      </w:r>
      <w:r>
        <w:t xml:space="preserve"> </w:t>
      </w:r>
      <w:hyperlink r:id="rId42">
        <w:r>
          <w:rPr>
            <w:rStyle w:val="Hyperlink"/>
          </w:rPr>
          <w:t xml:space="preserve">rdkit.org</w:t>
        </w:r>
      </w:hyperlink>
      <w:r>
        <w:t xml:space="preserve">.</w:t>
      </w:r>
      <w:bookmarkEnd w:id="206"/>
    </w:p>
    <w:p>
      <w:pPr>
        <w:pStyle w:val="MDPI81references"/>
        <w:numPr>
          <w:ilvl w:val="0"/>
          <w:numId w:val="0"/>
        </w:numPr>
        <w:ind w:left="180" w:hanging="180"/>
      </w:pPr>
      <w:bookmarkStart w:id="207"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7"/>
    </w:p>
    <w:p>
      <w:pPr>
        <w:pStyle w:val="MDPI81references"/>
        <w:numPr>
          <w:ilvl w:val="0"/>
          <w:numId w:val="0"/>
        </w:numPr>
        <w:ind w:left="180" w:hanging="180"/>
      </w:pPr>
      <w:bookmarkStart w:id="209" w:name="ref-daylight-smarts"/>
      <w:r>
        <w:t xml:space="preserve">Daylight Chemical Information Systems. (2007). SMARTS: A Language for Describing Molecular Patterns. Daylight Theory Manual, Aliso Viejo, CA.</w:t>
      </w:r>
      <w:r>
        <w:t xml:space="preserve"> </w:t>
      </w:r>
      <w:hyperlink r:id="rId4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09"/>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extended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4">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5">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www.rdkit.org" TargetMode="External"/><Relationship Id="rId43" Type="http://schemas.openxmlformats.org/officeDocument/2006/relationships/hyperlink" Target="https://www.daylight.com/dayhtml/doc/theory/theory.smarts.html" TargetMode="External"/><Relationship Id="rId44" Type="http://schemas.openxmlformats.org/officeDocument/2006/relationships/hyperlink" Target="https://doi.org/10.5281/zenodo.19821952" TargetMode="External"/><Relationship Id="rId45" Type="http://schemas.openxmlformats.org/officeDocument/2006/relationships/hyperlink" Target="https://github.com/ApartsinProjects/DGLD4Energetic"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