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  <w:spacing w:before="0" w:after="160"/>
        <w:jc w:val="center"/>
        <w:keepNext/>
        <w:keepLines/>
        <w:widowControl w:val="1"/>
      </w:pPr>
      <w:r>
        <w:t xml:space="preserve">Yehudit Aperstein, Ph.D. · Department of Intelligent Systems, Afeka Tel-Aviv College of Engineering, Tel-Aviv, Israel</w:t>
      </w:r>
      <w:r>
        <w:br/>
      </w:r>
      <w:r>
        <w:t xml:space="preserve">Alexander Apartsin, Ph.D. · School of Computer Science, Faculty of Sciences, Holon Institute of Technology (HIT), Holon, Israel</w:t>
      </w:r>
      <w:r>
        <w:br/>
      </w:r>
      <w:r>
        <w:t xml:space="preserve">Correspondence: apersteiny@afeka.ac.il</w:t>
      </w:r>
    </w:p>
    <w:p>
      <w:pPr>
        <w:pStyle w:val="Subtitle"/>
        <w:spacing w:before="0" w:after="160"/>
        <w:jc w:val="center"/>
        <w:keepNext w:val="0"/>
        <w:keepLines/>
        <w:widowControl w:val="1"/>
      </w:pPr>
      <w:r>
        <w:rPr>
          <w:rFonts w:ascii="Times New Roman" w:hAnsi="Times New Roman"/>
          <w:b w:val="0"/>
          <w:i/>
          <w:sz w:val="20"/>
        </w:rPr>
        <w:t xml:space="preserve">To: The Editors,</w:t>
      </w:r>
      <w:r>
        <w:rPr>
          <w:rFonts w:ascii="Times New Roman" w:hAnsi="Times New Roman"/>
          <w:b w:val="0"/>
          <w:i/>
          <w:sz w:val="20"/>
        </w:rPr>
        <w:t xml:space="preserve"> </w:t>
      </w:r>
      <w:r>
        <w:rPr>
          <w:rFonts w:ascii="Times New Roman" w:hAnsi="Times New Roman"/>
          <w:b w:val="0"/>
          <w:i/>
          <w:iCs/>
          <w:sz w:val="20"/>
        </w:rPr>
        <w:t xml:space="preserve">Scientific Reports</w:t>
      </w:r>
      <w:r>
        <w:rPr>
          <w:rFonts w:ascii="Times New Roman" w:hAnsi="Times New Roman"/>
          <w:b w:val="0"/>
          <w:i/>
          <w:sz w:val="20"/>
        </w:rPr>
        <w:t xml:space="preserve"> </w:t>
      </w:r>
      <w:r>
        <w:rPr>
          <w:rFonts w:ascii="Times New Roman" w:hAnsi="Times New Roman"/>
          <w:b w:val="0"/>
          <w:i/>
          <w:sz w:val="20"/>
        </w:rPr>
        <w:t xml:space="preserve">(Springer Nature)</w:t>
      </w:r>
    </w:p>
    <w:p>
      <w:pPr>
        <w:pStyle w:val="Subtitle"/>
        <w:spacing w:before="0" w:after="40"/>
        <w:jc w:val="center"/>
        <w:keepNext/>
        <w:keepLines/>
        <w:widowControl w:val="1"/>
      </w:pPr>
      <w:r>
        <w:rPr>
          <w:rFonts w:ascii="Times New Roman" w:hAnsi="Times New Roman"/>
          <w:b/>
          <w:i w:val="0"/>
          <w:sz w:val="24"/>
        </w:rPr>
        <w:t xml:space="preserve">Guest-Edited Collection “Generative Modeling for Chemistry Discovery”</w:t>
      </w:r>
    </w:p>
    <w:p>
      <w:pPr>
        <w:pStyle w:val="Subtitle"/>
        <w:spacing w:before="0" w:after="160"/>
        <w:jc w:val="center"/>
        <w:keepNext w:val="0"/>
        <w:keepLines/>
        <w:widowControl w:val="1"/>
      </w:pPr>
      <w:r>
        <w:rPr>
          <w:rFonts w:ascii="Times New Roman" w:hAnsi="Times New Roman"/>
          <w:b w:val="0"/>
          <w:bCs/>
          <w:i/>
          <w:sz w:val="20"/>
        </w:rPr>
        <w:t xml:space="preserve">Re:</w:t>
      </w:r>
      <w:r>
        <w:rPr>
          <w:rFonts w:ascii="Times New Roman" w:hAnsi="Times New Roman"/>
          <w:b w:val="0"/>
          <w:i/>
          <w:sz w:val="20"/>
        </w:rPr>
        <w:t xml:space="preserve"> </w:t>
      </w:r>
      <w:r>
        <w:rPr>
          <w:rFonts w:ascii="Times New Roman" w:hAnsi="Times New Roman"/>
          <w:b w:val="0"/>
          <w:i/>
          <w:sz w:val="20"/>
        </w:rPr>
        <w:t xml:space="preserve">Submission of an original research Article for consideration in the Collection</w:t>
      </w:r>
    </w:p>
    <w:p>
      <w:pPr>
        <w:pStyle w:val="Subtitle"/>
        <w:spacing w:before="0" w:after="40"/>
        <w:jc w:val="center"/>
        <w:keepNext/>
        <w:keepLines/>
        <w:widowControl w:val="1"/>
      </w:pPr>
      <w:r>
        <w:rPr>
          <w:rFonts w:ascii="Times New Roman" w:hAnsi="Times New Roman"/>
          <w:b/>
          <w:i w:val="0"/>
          <w:sz w:val="24"/>
        </w:rPr>
        <w:t xml:space="preserve">Dear Editors,</w:t>
      </w:r>
    </w:p>
    <w:p>
      <w:pPr>
        <w:pStyle w:val="Subtitle"/>
        <w:spacing w:before="0" w:after="160"/>
        <w:jc w:val="center"/>
        <w:keepNext w:val="0"/>
        <w:keepLines/>
        <w:widowControl w:val="1"/>
      </w:pPr>
      <w:r>
        <w:rPr>
          <w:rFonts w:ascii="Times New Roman" w:hAnsi="Times New Roman"/>
          <w:b w:val="0"/>
          <w:i/>
          <w:sz w:val="20"/>
        </w:rPr>
        <w:t xml:space="preserve">Please find enclosed our manuscript, “</w:t>
      </w:r>
      <w:r>
        <w:rPr>
          <w:rFonts w:ascii="Times New Roman" w:hAnsi="Times New Roman"/>
          <w:b w:val="0"/>
          <w:bCs/>
          <w:i/>
          <w:sz w:val="20"/>
        </w:rPr>
        <w:t xml:space="preserve">Domain-Gated Latent Diffusion: Generative Inverse</w:t>
      </w:r>
      <w:r>
        <w:rPr>
          <w:rFonts w:ascii="Times New Roman" w:hAnsi="Times New Roman"/>
          <w:b w:val="0"/>
          <w:bCs/>
          <w:i/>
          <w:sz w:val="20"/>
        </w:rPr>
        <w:t xml:space="preserve"> </w:t>
      </w:r>
      <w:r>
        <w:rPr>
          <w:rFonts w:ascii="Times New Roman" w:hAnsi="Times New Roman"/>
          <w:b w:val="0"/>
          <w:bCs/>
          <w:i/>
          <w:sz w:val="20"/>
        </w:rPr>
        <w:t xml:space="preserve">Design of HMX-Class Energetic Materials with First-Principles Validation</w:t>
      </w:r>
      <w:r>
        <w:rPr>
          <w:rFonts w:ascii="Times New Roman" w:hAnsi="Times New Roman"/>
          <w:b w:val="0"/>
          <w:i/>
          <w:sz w:val="20"/>
        </w:rPr>
        <w:t xml:space="preserve">,” which we submit</w:t>
      </w:r>
      <w:r>
        <w:rPr>
          <w:rFonts w:ascii="Times New Roman" w:hAnsi="Times New Roman"/>
          <w:b w:val="0"/>
          <w:i/>
          <w:sz w:val="20"/>
        </w:rPr>
        <w:t xml:space="preserve"> </w:t>
      </w:r>
      <w:r>
        <w:rPr>
          <w:rFonts w:ascii="Times New Roman" w:hAnsi="Times New Roman"/>
          <w:b w:val="0"/>
          <w:i/>
          <w:sz w:val="20"/>
        </w:rPr>
        <w:t xml:space="preserve">for consideration as an original research Article in the Guest-Edited Collection “Generative</w:t>
      </w:r>
      <w:r>
        <w:rPr>
          <w:rFonts w:ascii="Times New Roman" w:hAnsi="Times New Roman"/>
          <w:b w:val="0"/>
          <w:i/>
          <w:sz w:val="20"/>
        </w:rPr>
        <w:t xml:space="preserve"> </w:t>
      </w:r>
      <w:r>
        <w:rPr>
          <w:rFonts w:ascii="Times New Roman" w:hAnsi="Times New Roman"/>
          <w:b w:val="0"/>
          <w:i/>
          <w:sz w:val="20"/>
        </w:rPr>
        <w:t xml:space="preserve">Modeling for Chemistry Discovery.”</w:t>
      </w:r>
    </w:p>
    <w:p>
      <w:pPr>
        <w:pStyle w:val="Subtitle"/>
        <w:spacing w:before="0" w:after="160"/>
        <w:jc w:val="center"/>
        <w:keepNext w:val="0"/>
        <w:keepLines/>
        <w:widowControl w:val="1"/>
      </w:pPr>
      <w:r>
        <w:rPr>
          <w:rFonts w:ascii="Times New Roman" w:hAnsi="Times New Roman"/>
          <w:b w:val="0"/>
          <w:i/>
          <w:sz w:val="20"/>
        </w:rPr>
        <w:t xml:space="preserve">Energetic materials power mining, demolition, propulsion, and automotive airbags, yet the compounds in</w:t>
      </w:r>
      <w:r>
        <w:rPr>
          <w:rFonts w:ascii="Times New Roman" w:hAnsi="Times New Roman"/>
          <w:b w:val="0"/>
          <w:i/>
          <w:sz w:val="20"/>
        </w:rPr>
        <w:t xml:space="preserve"> </w:t>
      </w:r>
      <w:r>
        <w:rPr>
          <w:rFonts w:ascii="Times New Roman" w:hAnsi="Times New Roman"/>
          <w:b w:val="0"/>
          <w:i/>
          <w:sz w:val="20"/>
        </w:rPr>
        <w:t xml:space="preserve">service today were designed decades ago. Finding a successor means searching an enormous molecular space</w:t>
      </w:r>
      <w:r>
        <w:rPr>
          <w:rFonts w:ascii="Times New Roman" w:hAnsi="Times New Roman"/>
          <w:b w:val="0"/>
          <w:i/>
          <w:sz w:val="20"/>
        </w:rPr>
        <w:t xml:space="preserve"> </w:t>
      </w:r>
      <w:r>
        <w:rPr>
          <w:rFonts w:ascii="Times New Roman" w:hAnsi="Times New Roman"/>
          <w:b w:val="0"/>
          <w:i/>
          <w:sz w:val="20"/>
        </w:rPr>
        <w:t xml:space="preserve">under conflicting demands: high energy release, low sensitivity to accidental initiation, and a practical</w:t>
      </w:r>
      <w:r>
        <w:rPr>
          <w:rFonts w:ascii="Times New Roman" w:hAnsi="Times New Roman"/>
          <w:b w:val="0"/>
          <w:i/>
          <w:sz w:val="20"/>
        </w:rPr>
        <w:t xml:space="preserve"> </w:t>
      </w:r>
      <w:r>
        <w:rPr>
          <w:rFonts w:ascii="Times New Roman" w:hAnsi="Times New Roman"/>
          <w:b w:val="0"/>
          <w:i/>
          <w:sz w:val="20"/>
        </w:rPr>
        <w:t xml:space="preserve">synthesis route. Generative models are the natural search tool, but they fail here for a specific reason:</w:t>
      </w:r>
      <w:r>
        <w:rPr>
          <w:rFonts w:ascii="Times New Roman" w:hAnsi="Times New Roman"/>
          <w:b w:val="0"/>
          <w:i/>
          <w:sz w:val="20"/>
        </w:rPr>
        <w:t xml:space="preserve"> </w:t>
      </w:r>
      <w:r>
        <w:rPr>
          <w:rFonts w:ascii="Times New Roman" w:hAnsi="Times New Roman"/>
          <w:b w:val="0"/>
          <w:i/>
          <w:sz w:val="20"/>
        </w:rPr>
        <w:t xml:space="preserve">the training data is mostly untrustworthy. Of roughly 66,000 molecules with recorded properties, only</w:t>
      </w:r>
      <w:r>
        <w:rPr>
          <w:rFonts w:ascii="Times New Roman" w:hAnsi="Times New Roman"/>
          <w:b w:val="0"/>
          <w:i/>
          <w:sz w:val="20"/>
        </w:rPr>
        <w:t xml:space="preserve"> </w:t>
      </w:r>
      <w:r>
        <w:rPr>
          <w:rFonts w:ascii="Times New Roman" w:hAnsi="Times New Roman"/>
          <w:b w:val="0"/>
          <w:i/>
          <w:sz w:val="20"/>
        </w:rPr>
        <w:t xml:space="preserve">about 3,000 were measured experimentally or computed from first principles; models trained on all of them</w:t>
      </w:r>
      <w:r>
        <w:rPr>
          <w:rFonts w:ascii="Times New Roman" w:hAnsi="Times New Roman"/>
          <w:b w:val="0"/>
          <w:i/>
          <w:sz w:val="20"/>
        </w:rPr>
        <w:t xml:space="preserve"> </w:t>
      </w:r>
      <w:r>
        <w:rPr>
          <w:rFonts w:ascii="Times New Roman" w:hAnsi="Times New Roman"/>
          <w:b w:val="0"/>
          <w:i/>
          <w:sz w:val="20"/>
        </w:rPr>
        <w:t xml:space="preserve">learn to imitate the rough estimates and propose candidates that collapse once real physics is applied.</w:t>
      </w:r>
    </w:p>
    <w:p>
      <w:pPr>
        <w:pStyle w:val="Subtitle"/>
        <w:spacing w:before="0" w:after="160"/>
        <w:jc w:val="center"/>
        <w:keepNext w:val="0"/>
        <w:keepLines/>
        <w:widowControl w:val="1"/>
      </w:pPr>
      <w:r>
        <w:rPr>
          <w:rFonts w:ascii="Times New Roman" w:hAnsi="Times New Roman"/>
          <w:b w:val="0"/>
          <w:i/>
          <w:sz w:val="20"/>
        </w:rPr>
        <w:t xml:space="preserve">We introduce Domain-Gated Latent Diffusion (DGLD), a diffusion model that treats data reliability as an</w:t>
      </w:r>
      <w:r>
        <w:rPr>
          <w:rFonts w:ascii="Times New Roman" w:hAnsi="Times New Roman"/>
          <w:b w:val="0"/>
          <w:i/>
          <w:sz w:val="20"/>
        </w:rPr>
        <w:t xml:space="preserve"> </w:t>
      </w:r>
      <w:r>
        <w:rPr>
          <w:rFonts w:ascii="Times New Roman" w:hAnsi="Times New Roman"/>
          <w:b w:val="0"/>
          <w:i/>
          <w:sz w:val="20"/>
        </w:rPr>
        <w:t xml:space="preserve">explicit design parameter. A four-tier trust gate lets only reliable labels steer generation, while the</w:t>
      </w:r>
      <w:r>
        <w:rPr>
          <w:rFonts w:ascii="Times New Roman" w:hAnsi="Times New Roman"/>
          <w:b w:val="0"/>
          <w:i/>
          <w:sz w:val="20"/>
        </w:rPr>
        <w:t xml:space="preserve"> </w:t>
      </w:r>
      <w:r>
        <w:rPr>
          <w:rFonts w:ascii="Times New Roman" w:hAnsi="Times New Roman"/>
          <w:b w:val="0"/>
          <w:i/>
          <w:sz w:val="20"/>
        </w:rPr>
        <w:t xml:space="preserve">unreliable majority still teaches the model what a plausible molecule looks like; a multi-task score model</w:t>
      </w:r>
      <w:r>
        <w:rPr>
          <w:rFonts w:ascii="Times New Roman" w:hAnsi="Times New Roman"/>
          <w:b w:val="0"/>
          <w:i/>
          <w:sz w:val="20"/>
        </w:rPr>
        <w:t xml:space="preserve"> </w:t>
      </w:r>
      <w:r>
        <w:rPr>
          <w:rFonts w:ascii="Times New Roman" w:hAnsi="Times New Roman"/>
          <w:b w:val="0"/>
          <w:i/>
          <w:sz w:val="20"/>
        </w:rPr>
        <w:t xml:space="preserve">provides independently switchable control over viability, sensitivity, and hazard; and a four-stage</w:t>
      </w:r>
      <w:r>
        <w:rPr>
          <w:rFonts w:ascii="Times New Roman" w:hAnsi="Times New Roman"/>
          <w:b w:val="0"/>
          <w:i/>
          <w:sz w:val="20"/>
        </w:rPr>
        <w:t xml:space="preserve"> </w:t>
      </w:r>
      <w:r>
        <w:rPr>
          <w:rFonts w:ascii="Times New Roman" w:hAnsi="Times New Roman"/>
          <w:b w:val="0"/>
          <w:i/>
          <w:sz w:val="20"/>
        </w:rPr>
        <w:t xml:space="preserve">screening funnel (SMARTS filtering, a Pareto reranker, GFN2-xTB triage, and two-level density functional</w:t>
      </w:r>
      <w:r>
        <w:rPr>
          <w:rFonts w:ascii="Times New Roman" w:hAnsi="Times New Roman"/>
          <w:b w:val="0"/>
          <w:i/>
          <w:sz w:val="20"/>
        </w:rPr>
        <w:t xml:space="preserve"> </w:t>
      </w:r>
      <w:r>
        <w:rPr>
          <w:rFonts w:ascii="Times New Roman" w:hAnsi="Times New Roman"/>
          <w:b w:val="0"/>
          <w:i/>
          <w:sz w:val="20"/>
        </w:rPr>
        <w:t xml:space="preserve">theory) audits every candidate before it is reported.</w:t>
      </w:r>
    </w:p>
    <w:p>
      <w:pPr>
        <w:pStyle w:val="Subtitle"/>
        <w:spacing w:before="0" w:after="160"/>
        <w:jc w:val="center"/>
        <w:keepNext w:val="0"/>
        <w:keepLines/>
        <w:widowControl w:val="1"/>
      </w:pPr>
      <w:r>
        <w:rPr>
          <w:rFonts w:ascii="Times New Roman" w:hAnsi="Times New Roman"/>
          <w:b w:val="0"/>
          <w:bCs/>
          <w:i/>
          <w:sz w:val="20"/>
        </w:rPr>
        <w:t xml:space="preserve">Fit to the Collection.</w:t>
      </w:r>
      <w:r>
        <w:rPr>
          <w:rFonts w:ascii="Times New Roman" w:hAnsi="Times New Roman"/>
          <w:b w:val="0"/>
          <w:i/>
          <w:sz w:val="20"/>
        </w:rPr>
        <w:t xml:space="preserve"> </w:t>
      </w:r>
      <w:r>
        <w:rPr>
          <w:rFonts w:ascii="Times New Roman" w:hAnsi="Times New Roman"/>
          <w:b w:val="0"/>
          <w:i/>
          <w:sz w:val="20"/>
        </w:rPr>
        <w:t xml:space="preserve">The manuscript speaks to all three of the Collection's stated</w:t>
      </w:r>
      <w:r>
        <w:rPr>
          <w:rFonts w:ascii="Times New Roman" w:hAnsi="Times New Roman"/>
          <w:b w:val="0"/>
          <w:i/>
          <w:sz w:val="20"/>
        </w:rPr>
        <w:t xml:space="preserve"> </w:t>
      </w:r>
      <w:r>
        <w:rPr>
          <w:rFonts w:ascii="Times New Roman" w:hAnsi="Times New Roman"/>
          <w:b w:val="0"/>
          <w:i/>
          <w:sz w:val="20"/>
        </w:rPr>
        <w:t xml:space="preserve">themes. It contributes an</w:t>
      </w:r>
      <w:r>
        <w:rPr>
          <w:rFonts w:ascii="Times New Roman" w:hAnsi="Times New Roman"/>
          <w:b w:val="0"/>
          <w:i/>
          <w:sz w:val="20"/>
        </w:rPr>
        <w:t xml:space="preserve"> </w:t>
      </w:r>
      <w:r>
        <w:rPr>
          <w:rFonts w:ascii="Times New Roman" w:hAnsi="Times New Roman"/>
          <w:b w:val="0"/>
          <w:i/>
          <w:iCs/>
          <w:sz w:val="20"/>
        </w:rPr>
        <w:t xml:space="preserve">algorithmic innovation</w:t>
      </w:r>
      <w:r>
        <w:rPr>
          <w:rFonts w:ascii="Times New Roman" w:hAnsi="Times New Roman"/>
          <w:b w:val="0"/>
          <w:i/>
          <w:sz w:val="20"/>
        </w:rPr>
        <w:t xml:space="preserve"> </w:t>
      </w:r>
      <w:r>
        <w:rPr>
          <w:rFonts w:ascii="Times New Roman" w:hAnsi="Times New Roman"/>
          <w:b w:val="0"/>
          <w:i/>
          <w:sz w:val="20"/>
        </w:rPr>
        <w:t xml:space="preserve">in deep generative modelling, namely a diffusion</w:t>
      </w:r>
      <w:r>
        <w:rPr>
          <w:rFonts w:ascii="Times New Roman" w:hAnsi="Times New Roman"/>
          <w:b w:val="0"/>
          <w:i/>
          <w:sz w:val="20"/>
        </w:rPr>
        <w:t xml:space="preserve"> </w:t>
      </w:r>
      <w:r>
        <w:rPr>
          <w:rFonts w:ascii="Times New Roman" w:hAnsi="Times New Roman"/>
          <w:b w:val="0"/>
          <w:i/>
          <w:sz w:val="20"/>
        </w:rPr>
        <w:t xml:space="preserve">prior that consumes unevenly reliable property labels by construction rather than by filtering them away.</w:t>
      </w:r>
      <w:r>
        <w:rPr>
          <w:rFonts w:ascii="Times New Roman" w:hAnsi="Times New Roman"/>
          <w:b w:val="0"/>
          <w:i/>
          <w:sz w:val="20"/>
        </w:rPr>
        <w:t xml:space="preserve"> </w:t>
      </w:r>
      <w:r>
        <w:rPr>
          <w:rFonts w:ascii="Times New Roman" w:hAnsi="Times New Roman"/>
          <w:b w:val="0"/>
          <w:i/>
          <w:sz w:val="20"/>
        </w:rPr>
        <w:t xml:space="preserve">It is built around</w:t>
      </w:r>
      <w:r>
        <w:rPr>
          <w:rFonts w:ascii="Times New Roman" w:hAnsi="Times New Roman"/>
          <w:b w:val="0"/>
          <w:i/>
          <w:sz w:val="20"/>
        </w:rPr>
        <w:t xml:space="preserve"> </w:t>
      </w:r>
      <w:r>
        <w:rPr>
          <w:rFonts w:ascii="Times New Roman" w:hAnsi="Times New Roman"/>
          <w:b w:val="0"/>
          <w:i/>
          <w:iCs/>
          <w:sz w:val="20"/>
        </w:rPr>
        <w:t xml:space="preserve">integration with quantum-chemical simulation</w:t>
      </w:r>
      <w:r>
        <w:rPr>
          <w:rFonts w:ascii="Times New Roman" w:hAnsi="Times New Roman"/>
          <w:b w:val="0"/>
          <w:i/>
          <w:sz w:val="20"/>
        </w:rPr>
        <w:t xml:space="preserve">, with DFT acting as a validation</w:t>
      </w:r>
      <w:r>
        <w:rPr>
          <w:rFonts w:ascii="Times New Roman" w:hAnsi="Times New Roman"/>
          <w:b w:val="0"/>
          <w:i/>
          <w:sz w:val="20"/>
        </w:rPr>
        <w:t xml:space="preserve"> </w:t>
      </w:r>
      <w:r>
        <w:rPr>
          <w:rFonts w:ascii="Times New Roman" w:hAnsi="Times New Roman"/>
          <w:b w:val="0"/>
          <w:i/>
          <w:sz w:val="20"/>
        </w:rPr>
        <w:t xml:space="preserve">stage inside the discovery loop rather than as a post-hoc check, so that no candidate is reported until</w:t>
      </w:r>
      <w:r>
        <w:rPr>
          <w:rFonts w:ascii="Times New Roman" w:hAnsi="Times New Roman"/>
          <w:b w:val="0"/>
          <w:i/>
          <w:sz w:val="20"/>
        </w:rPr>
        <w:t xml:space="preserve"> </w:t>
      </w:r>
      <w:r>
        <w:rPr>
          <w:rFonts w:ascii="Times New Roman" w:hAnsi="Times New Roman"/>
          <w:b w:val="0"/>
          <w:i/>
          <w:sz w:val="20"/>
        </w:rPr>
        <w:t xml:space="preserve">first-principles physics has been applied to it. And it is an</w:t>
      </w:r>
      <w:r>
        <w:rPr>
          <w:rFonts w:ascii="Times New Roman" w:hAnsi="Times New Roman"/>
          <w:b w:val="0"/>
          <w:i/>
          <w:sz w:val="20"/>
        </w:rPr>
        <w:t xml:space="preserve"> </w:t>
      </w:r>
      <w:r>
        <w:rPr>
          <w:rFonts w:ascii="Times New Roman" w:hAnsi="Times New Roman"/>
          <w:b w:val="0"/>
          <w:i/>
          <w:iCs/>
          <w:sz w:val="20"/>
        </w:rPr>
        <w:t xml:space="preserve">application to advanced materials</w:t>
      </w:r>
      <w:r>
        <w:rPr>
          <w:rFonts w:ascii="Times New Roman" w:hAnsi="Times New Roman"/>
          <w:b w:val="0"/>
          <w:i/>
          <w:sz w:val="20"/>
        </w:rPr>
        <w:t xml:space="preserve">,</w:t>
      </w:r>
      <w:r>
        <w:rPr>
          <w:rFonts w:ascii="Times New Roman" w:hAnsi="Times New Roman"/>
          <w:b w:val="0"/>
          <w:i/>
          <w:sz w:val="20"/>
        </w:rPr>
        <w:t xml:space="preserve"> </w:t>
      </w:r>
      <w:r>
        <w:rPr>
          <w:rFonts w:ascii="Times New Roman" w:hAnsi="Times New Roman"/>
          <w:b w:val="0"/>
          <w:i/>
          <w:sz w:val="20"/>
        </w:rPr>
        <w:t xml:space="preserve">on a target whose design objectives are in direct conflict. Because the label-trust gate is independent of</w:t>
      </w:r>
      <w:r>
        <w:rPr>
          <w:rFonts w:ascii="Times New Roman" w:hAnsi="Times New Roman"/>
          <w:b w:val="0"/>
          <w:i/>
          <w:sz w:val="20"/>
        </w:rPr>
        <w:t xml:space="preserve"> </w:t>
      </w:r>
      <w:r>
        <w:rPr>
          <w:rFonts w:ascii="Times New Roman" w:hAnsi="Times New Roman"/>
          <w:b w:val="0"/>
          <w:i/>
          <w:sz w:val="20"/>
        </w:rPr>
        <w:t xml:space="preserve">chemistry, transferring to any inverse-design setting in which abundant weak labels surround a small</w:t>
      </w:r>
      <w:r>
        <w:rPr>
          <w:rFonts w:ascii="Times New Roman" w:hAnsi="Times New Roman"/>
          <w:b w:val="0"/>
          <w:i/>
          <w:sz w:val="20"/>
        </w:rPr>
        <w:t xml:space="preserve"> </w:t>
      </w:r>
      <w:r>
        <w:rPr>
          <w:rFonts w:ascii="Times New Roman" w:hAnsi="Times New Roman"/>
          <w:b w:val="0"/>
          <w:i/>
          <w:sz w:val="20"/>
        </w:rPr>
        <w:t xml:space="preserve">reliable core, we expect the work to interest readers in catalysis and energy storage, where the same</w:t>
      </w:r>
      <w:r>
        <w:rPr>
          <w:rFonts w:ascii="Times New Roman" w:hAnsi="Times New Roman"/>
          <w:b w:val="0"/>
          <w:i/>
          <w:sz w:val="20"/>
        </w:rPr>
        <w:t xml:space="preserve"> </w:t>
      </w:r>
      <w:r>
        <w:rPr>
          <w:rFonts w:ascii="Times New Roman" w:hAnsi="Times New Roman"/>
          <w:b w:val="0"/>
          <w:i/>
          <w:sz w:val="20"/>
        </w:rPr>
        <w:t xml:space="preserve">label-quality asymmetry arises, as well as the journal's broader machine-learning and materials</w:t>
      </w:r>
      <w:r>
        <w:rPr>
          <w:rFonts w:ascii="Times New Roman" w:hAnsi="Times New Roman"/>
          <w:b w:val="0"/>
          <w:i/>
          <w:sz w:val="20"/>
        </w:rPr>
        <w:t xml:space="preserve"> </w:t>
      </w:r>
      <w:r>
        <w:rPr>
          <w:rFonts w:ascii="Times New Roman" w:hAnsi="Times New Roman"/>
          <w:b w:val="0"/>
          <w:i/>
          <w:sz w:val="20"/>
        </w:rPr>
        <w:t xml:space="preserve">readership.</w:t>
      </w:r>
    </w:p>
    <w:p>
      <w:pPr>
        <w:pStyle w:val="Subtitle"/>
        <w:spacing w:before="0" w:after="40"/>
        <w:jc w:val="center"/>
        <w:keepNext/>
        <w:keepLines/>
        <w:widowControl w:val="1"/>
      </w:pPr>
      <w:r>
        <w:rPr>
          <w:rFonts w:ascii="Times New Roman" w:hAnsi="Times New Roman"/>
          <w:b/>
          <w:i w:val="0"/>
          <w:sz w:val="24"/>
        </w:rPr>
        <w:t xml:space="preserve">The principal findings are:</w:t>
      </w:r>
    </w:p>
    <w:p>
      <w:pPr>
        <w:pStyle w:val="Subtitle"/>
        <w:numPr>
          <w:ilvl w:val="0"/>
          <w:numId w:val="1001"/>
        </w:numPr>
        <w:spacing w:before="0" w:after="160"/>
        <w:ind w:left="360" w:hanging="259"/>
        <w:jc w:val="center"/>
        <w:keepNext w:val="0"/>
        <w:keepLines/>
        <w:widowControl w:val="1"/>
      </w:pPr>
      <w:r>
        <w:rPr>
          <w:rFonts w:ascii="Times New Roman" w:hAnsi="Times New Roman"/>
          <w:b w:val="0"/>
          <w:i/>
          <w:sz w:val="20"/>
        </w:rPr>
        <w:t xml:space="preserve">DGLD proposes</w:t>
      </w:r>
      <w:r>
        <w:rPr>
          <w:rFonts w:ascii="Times New Roman" w:hAnsi="Times New Roman"/>
          <w:b w:val="0"/>
          <w:i/>
          <w:sz w:val="20"/>
        </w:rPr>
        <w:t xml:space="preserve"> </w:t>
      </w:r>
      <w:r>
        <w:rPr>
          <w:rFonts w:ascii="Times New Roman" w:hAnsi="Times New Roman"/>
          <w:b w:val="0"/>
          <w:bCs/>
          <w:i/>
          <w:sz w:val="20"/>
        </w:rPr>
        <w:t xml:space="preserve">ten unique molecules that survive the full DFT audit</w:t>
      </w:r>
      <w:r>
        <w:rPr>
          <w:rFonts w:ascii="Times New Roman" w:hAnsi="Times New Roman"/>
          <w:b w:val="0"/>
          <w:i/>
          <w:sz w:val="20"/>
        </w:rPr>
        <w:t xml:space="preserve">, none of them</w:t>
      </w:r>
      <w:r>
        <w:rPr>
          <w:rFonts w:ascii="Times New Roman" w:hAnsi="Times New Roman"/>
          <w:b w:val="0"/>
          <w:i/>
          <w:sz w:val="20"/>
        </w:rPr>
        <w:t xml:space="preserve"> </w:t>
      </w:r>
      <w:r>
        <w:rPr>
          <w:rFonts w:ascii="Times New Roman" w:hAnsi="Times New Roman"/>
          <w:b w:val="0"/>
          <w:i/>
          <w:sz w:val="20"/>
        </w:rPr>
        <w:t xml:space="preserve">present in PubChem, the SureChEMBL patent corpus, or the 65,980-row training set.</w:t>
      </w:r>
    </w:p>
    <w:p>
      <w:pPr>
        <w:pStyle w:val="Subtitle"/>
        <w:numPr>
          <w:ilvl w:val="0"/>
          <w:numId w:val="1001"/>
        </w:numPr>
        <w:spacing w:before="0" w:after="160"/>
        <w:ind w:left="360" w:hanging="259"/>
        <w:jc w:val="center"/>
        <w:keepNext w:val="0"/>
        <w:keepLines/>
        <w:widowControl w:val="1"/>
      </w:pPr>
      <w:r>
        <w:rPr>
          <w:rFonts w:ascii="Times New Roman" w:hAnsi="Times New Roman"/>
          <w:b w:val="0"/>
          <w:i/>
          <w:sz w:val="20"/>
        </w:rPr>
        <w:t xml:space="preserve">The best of them, 3,4,5-trinitro-1,2-isoxazole, matches the benchmark explosives HMX and PETN on</w:t>
      </w:r>
      <w:r>
        <w:rPr>
          <w:rFonts w:ascii="Times New Roman" w:hAnsi="Times New Roman"/>
          <w:b w:val="0"/>
          <w:i/>
          <w:sz w:val="20"/>
        </w:rPr>
        <w:t xml:space="preserve"> </w:t>
      </w:r>
      <w:r>
        <w:rPr>
          <w:rFonts w:ascii="Times New Roman" w:hAnsi="Times New Roman"/>
          <w:b w:val="0"/>
          <w:i/>
          <w:sz w:val="20"/>
        </w:rPr>
        <w:t xml:space="preserve">calculated detonation performance (calibrated density 2.09 g cm</w:t>
      </w:r>
      <w:r>
        <w:rPr>
          <w:rFonts w:ascii="Times New Roman" w:hAnsi="Times New Roman"/>
          <w:b w:val="0"/>
          <w:i/>
          <w:sz w:val="20"/>
          <w:vertAlign w:val="superscript"/>
        </w:rPr>
        <w:t xml:space="preserve">−3</w:t>
      </w:r>
      <w:r>
        <w:rPr>
          <w:rFonts w:ascii="Times New Roman" w:hAnsi="Times New Roman"/>
          <w:b w:val="0"/>
          <w:i/>
          <w:sz w:val="20"/>
        </w:rPr>
        <w:t xml:space="preserve">,</w:t>
      </w:r>
      <w:r>
        <w:rPr>
          <w:rFonts w:ascii="Times New Roman" w:hAnsi="Times New Roman"/>
          <w:b w:val="0"/>
          <w:i/>
          <w:sz w:val="20"/>
        </w:rPr>
        <w:t xml:space="preserve"> </w:t>
      </w:r>
      <w:r>
        <w:rPr>
          <w:rFonts w:ascii="Times New Roman" w:hAnsi="Times New Roman"/>
          <w:b w:val="0"/>
          <w:i/>
          <w:sz w:val="20"/>
        </w:rPr>
        <w:t xml:space="preserve">Kamlet–Jacobs detonation velocity 8.25 km s</w:t>
      </w:r>
      <w:r>
        <w:rPr>
          <w:rFonts w:ascii="Times New Roman" w:hAnsi="Times New Roman"/>
          <w:b w:val="0"/>
          <w:i/>
          <w:sz w:val="20"/>
          <w:vertAlign w:val="superscript"/>
        </w:rPr>
        <w:t xml:space="preserve">−1</w:t>
      </w:r>
      <w:r>
        <w:rPr>
          <w:rFonts w:ascii="Times New Roman" w:hAnsi="Times New Roman"/>
          <w:b w:val="0"/>
          <w:i/>
          <w:sz w:val="20"/>
        </w:rPr>
        <w:t xml:space="preserve">), is structurally unlike</w:t>
      </w:r>
      <w:r>
        <w:rPr>
          <w:rFonts w:ascii="Times New Roman" w:hAnsi="Times New Roman"/>
          <w:b w:val="0"/>
          <w:i/>
          <w:sz w:val="20"/>
        </w:rPr>
        <w:t xml:space="preserve"> </w:t>
      </w:r>
      <w:r>
        <w:rPr>
          <w:rFonts w:ascii="Times New Roman" w:hAnsi="Times New Roman"/>
          <w:b w:val="0"/>
          <w:i/>
          <w:sz w:val="20"/>
        </w:rPr>
        <w:t xml:space="preserve">anything in the training set (nearest-neighbour Tanimoto 0.27), and comes with a four-step synthesis</w:t>
      </w:r>
      <w:r>
        <w:rPr>
          <w:rFonts w:ascii="Times New Roman" w:hAnsi="Times New Roman"/>
          <w:b w:val="0"/>
          <w:i/>
          <w:sz w:val="20"/>
        </w:rPr>
        <w:t xml:space="preserve"> </w:t>
      </w:r>
      <w:r>
        <w:rPr>
          <w:rFonts w:ascii="Times New Roman" w:hAnsi="Times New Roman"/>
          <w:b w:val="0"/>
          <w:i/>
          <w:sz w:val="20"/>
        </w:rPr>
        <w:t xml:space="preserve">route, making it directly actionable for an experimental campaign.</w:t>
      </w:r>
    </w:p>
    <w:p>
      <w:pPr>
        <w:pStyle w:val="Subtitle"/>
        <w:numPr>
          <w:ilvl w:val="0"/>
          <w:numId w:val="1001"/>
        </w:numPr>
        <w:spacing w:before="0" w:after="160"/>
        <w:ind w:left="360" w:hanging="259"/>
        <w:jc w:val="center"/>
        <w:keepNext w:val="0"/>
        <w:keepLines/>
        <w:widowControl w:val="1"/>
      </w:pPr>
      <w:r>
        <w:rPr>
          <w:rFonts w:ascii="Times New Roman" w:hAnsi="Times New Roman"/>
          <w:b w:val="0"/>
          <w:i/>
          <w:sz w:val="20"/>
        </w:rPr>
        <w:t xml:space="preserve">Against four generative baselines on the same corpus, DGLD is the</w:t>
      </w:r>
      <w:r>
        <w:rPr>
          <w:rFonts w:ascii="Times New Roman" w:hAnsi="Times New Roman"/>
          <w:b w:val="0"/>
          <w:i/>
          <w:sz w:val="20"/>
        </w:rPr>
        <w:t xml:space="preserve"> </w:t>
      </w:r>
      <w:r>
        <w:rPr>
          <w:rFonts w:ascii="Times New Roman" w:hAnsi="Times New Roman"/>
          <w:b w:val="0"/>
          <w:bCs/>
          <w:i/>
          <w:sz w:val="20"/>
        </w:rPr>
        <w:t xml:space="preserve">only method whose novel</w:t>
      </w:r>
      <w:r>
        <w:rPr>
          <w:rFonts w:ascii="Times New Roman" w:hAnsi="Times New Roman"/>
          <w:b w:val="0"/>
          <w:bCs/>
          <w:i/>
          <w:sz w:val="20"/>
        </w:rPr>
        <w:t xml:space="preserve"> </w:t>
      </w:r>
      <w:r>
        <w:rPr>
          <w:rFonts w:ascii="Times New Roman" w:hAnsi="Times New Roman"/>
          <w:b w:val="0"/>
          <w:bCs/>
          <w:i/>
          <w:sz w:val="20"/>
        </w:rPr>
        <w:t xml:space="preserve">candidates remain on-target once first-principles physics is applied</w:t>
      </w:r>
      <w:r>
        <w:rPr>
          <w:rFonts w:ascii="Times New Roman" w:hAnsi="Times New Roman"/>
          <w:b w:val="0"/>
          <w:i/>
          <w:sz w:val="20"/>
        </w:rPr>
        <w:t xml:space="preserve">; the sole baseline whose</w:t>
      </w:r>
      <w:r>
        <w:rPr>
          <w:rFonts w:ascii="Times New Roman" w:hAnsi="Times New Roman"/>
          <w:b w:val="0"/>
          <w:i/>
          <w:sz w:val="20"/>
        </w:rPr>
        <w:t xml:space="preserve"> </w:t>
      </w:r>
      <w:r>
        <w:rPr>
          <w:rFonts w:ascii="Times New Roman" w:hAnsi="Times New Roman"/>
          <w:b w:val="0"/>
          <w:i/>
          <w:sz w:val="20"/>
        </w:rPr>
        <w:t xml:space="preserve">best novel candidate was carried to DFT collapsed from 9.73 to</w:t>
      </w:r>
      <w:r>
        <w:rPr>
          <w:rFonts w:ascii="Times New Roman" w:hAnsi="Times New Roman"/>
          <w:b w:val="0"/>
          <w:i/>
          <w:sz w:val="20"/>
        </w:rPr>
        <w:t xml:space="preserve"> </w:t>
      </w:r>
      <w:r>
        <w:rPr>
          <w:rFonts w:ascii="Times New Roman" w:hAnsi="Times New Roman"/>
          <w:b w:val="0"/>
          <w:i/>
          <w:sz w:val="20"/>
        </w:rPr>
        <w:t xml:space="preserve">6.28 km s</w:t>
      </w:r>
      <w:r>
        <w:rPr>
          <w:rFonts w:ascii="Times New Roman" w:hAnsi="Times New Roman"/>
          <w:b w:val="0"/>
          <w:i/>
          <w:sz w:val="20"/>
          <w:vertAlign w:val="superscript"/>
        </w:rPr>
        <w:t xml:space="preserve">−1</w:t>
      </w:r>
      <w:r>
        <w:rPr>
          <w:rFonts w:ascii="Times New Roman" w:hAnsi="Times New Roman"/>
          <w:b w:val="0"/>
          <w:i/>
          <w:sz w:val="20"/>
        </w:rPr>
        <w:t xml:space="preserve">.</w:t>
      </w:r>
    </w:p>
    <w:p>
      <w:pPr>
        <w:pStyle w:val="Subtitle"/>
        <w:numPr>
          <w:ilvl w:val="0"/>
          <w:numId w:val="1001"/>
        </w:numPr>
        <w:spacing w:before="0" w:after="160"/>
        <w:ind w:left="360" w:hanging="259"/>
        <w:jc w:val="center"/>
        <w:keepNext w:val="0"/>
        <w:keepLines/>
        <w:widowControl w:val="1"/>
      </w:pPr>
      <w:r>
        <w:rPr>
          <w:rFonts w:ascii="Times New Roman" w:hAnsi="Times New Roman"/>
          <w:b w:val="0"/>
          <w:i/>
          <w:sz w:val="20"/>
        </w:rPr>
        <w:t xml:space="preserve">Because trust gating is independent of chemistry, the recipe transfers to any inverse-design setting</w:t>
      </w:r>
      <w:r>
        <w:rPr>
          <w:rFonts w:ascii="Times New Roman" w:hAnsi="Times New Roman"/>
          <w:b w:val="0"/>
          <w:i/>
          <w:sz w:val="20"/>
        </w:rPr>
        <w:t xml:space="preserve"> </w:t>
      </w:r>
      <w:r>
        <w:rPr>
          <w:rFonts w:ascii="Times New Roman" w:hAnsi="Times New Roman"/>
          <w:b w:val="0"/>
          <w:i/>
          <w:sz w:val="20"/>
        </w:rPr>
        <w:t xml:space="preserve">in which abundant weak labels surround a small reliable core.</w:t>
      </w:r>
    </w:p>
    <w:p>
      <w:pPr>
        <w:pStyle w:val="Subtitle"/>
        <w:spacing w:before="0" w:after="160"/>
        <w:jc w:val="center"/>
        <w:keepNext w:val="0"/>
        <w:keepLines/>
        <w:widowControl w:val="1"/>
      </w:pPr>
      <w:r>
        <w:rPr>
          <w:rFonts w:ascii="Times New Roman" w:hAnsi="Times New Roman"/>
          <w:b w:val="0"/>
          <w:i/>
          <w:sz w:val="20"/>
        </w:rPr>
        <w:t xml:space="preserve">To support reproducibility, the code, trained model checkpoints, and datasets are released openly as a</w:t>
      </w:r>
      <w:r>
        <w:rPr>
          <w:rFonts w:ascii="Times New Roman" w:hAnsi="Times New Roman"/>
          <w:b w:val="0"/>
          <w:i/>
          <w:sz w:val="20"/>
        </w:rPr>
        <w:t xml:space="preserve"> </w:t>
      </w:r>
      <w:r>
        <w:rPr>
          <w:rFonts w:ascii="Times New Roman" w:hAnsi="Times New Roman"/>
          <w:b w:val="0"/>
          <w:i/>
          <w:sz w:val="20"/>
        </w:rPr>
        <w:t xml:space="preserve">single archived package on Zenodo (DOI 10.5281/zenodo.19821952), and the full computational protocol is</w:t>
      </w:r>
      <w:r>
        <w:rPr>
          <w:rFonts w:ascii="Times New Roman" w:hAnsi="Times New Roman"/>
          <w:b w:val="0"/>
          <w:i/>
          <w:sz w:val="20"/>
        </w:rPr>
        <w:t xml:space="preserve"> </w:t>
      </w:r>
      <w:r>
        <w:rPr>
          <w:rFonts w:ascii="Times New Roman" w:hAnsi="Times New Roman"/>
          <w:b w:val="0"/>
          <w:i/>
          <w:sz w:val="20"/>
        </w:rPr>
        <w:t xml:space="preserve">given in the Supplementary Information.</w:t>
      </w:r>
    </w:p>
    <w:p>
      <w:pPr>
        <w:pStyle w:val="Subtitle"/>
        <w:spacing w:before="0" w:after="160"/>
        <w:jc w:val="center"/>
        <w:keepNext w:val="0"/>
        <w:keepLines/>
        <w:widowControl w:val="1"/>
      </w:pPr>
      <w:r>
        <w:rPr>
          <w:rFonts w:ascii="Times New Roman" w:hAnsi="Times New Roman"/>
          <w:b w:val="0"/>
          <w:i/>
          <w:sz w:val="20"/>
        </w:rPr>
        <w:t xml:space="preserve">We confirm that this manuscript is original, has not been published previously, and is not under</w:t>
      </w:r>
      <w:r>
        <w:rPr>
          <w:rFonts w:ascii="Times New Roman" w:hAnsi="Times New Roman"/>
          <w:b w:val="0"/>
          <w:i/>
          <w:sz w:val="20"/>
        </w:rPr>
        <w:t xml:space="preserve"> </w:t>
      </w:r>
      <w:r>
        <w:rPr>
          <w:rFonts w:ascii="Times New Roman" w:hAnsi="Times New Roman"/>
          <w:b w:val="0"/>
          <w:i/>
          <w:sz w:val="20"/>
        </w:rPr>
        <w:t xml:space="preserve">consideration for publication elsewhere. All authors have approved the submission and agree to its content.</w:t>
      </w:r>
      <w:r>
        <w:rPr>
          <w:rFonts w:ascii="Times New Roman" w:hAnsi="Times New Roman"/>
          <w:b w:val="0"/>
          <w:i/>
          <w:sz w:val="20"/>
        </w:rPr>
        <w:t xml:space="preserve"> </w:t>
      </w:r>
      <w:r>
        <w:rPr>
          <w:rFonts w:ascii="Times New Roman" w:hAnsi="Times New Roman"/>
          <w:b w:val="0"/>
          <w:i/>
          <w:sz w:val="20"/>
        </w:rPr>
        <w:t xml:space="preserve">The authors declare no competing interests. The study involved no human participants, animals, or</w:t>
      </w:r>
      <w:r>
        <w:rPr>
          <w:rFonts w:ascii="Times New Roman" w:hAnsi="Times New Roman"/>
          <w:b w:val="0"/>
          <w:i/>
          <w:sz w:val="20"/>
        </w:rPr>
        <w:t xml:space="preserve"> </w:t>
      </w:r>
      <w:r>
        <w:rPr>
          <w:rFonts w:ascii="Times New Roman" w:hAnsi="Times New Roman"/>
          <w:b w:val="0"/>
          <w:i/>
          <w:sz w:val="20"/>
        </w:rPr>
        <w:t xml:space="preserve">identifiable personal data. We have had no prior discussions with a Scientific Reports Editorial Board</w:t>
      </w:r>
      <w:r>
        <w:rPr>
          <w:rFonts w:ascii="Times New Roman" w:hAnsi="Times New Roman"/>
          <w:b w:val="0"/>
          <w:i/>
          <w:sz w:val="20"/>
        </w:rPr>
        <w:t xml:space="preserve"> </w:t>
      </w:r>
      <w:r>
        <w:rPr>
          <w:rFonts w:ascii="Times New Roman" w:hAnsi="Times New Roman"/>
          <w:b w:val="0"/>
          <w:i/>
          <w:sz w:val="20"/>
        </w:rPr>
        <w:t xml:space="preserve">Member about this work.</w:t>
      </w:r>
    </w:p>
    <w:p>
      <w:pPr>
        <w:pStyle w:val="Subtitle"/>
        <w:spacing w:before="0" w:after="40"/>
        <w:jc w:val="center"/>
        <w:keepNext/>
        <w:keepLines/>
        <w:widowControl w:val="1"/>
      </w:pPr>
      <w:r>
        <w:rPr>
          <w:rFonts w:ascii="Times New Roman" w:hAnsi="Times New Roman"/>
          <w:b/>
          <w:i w:val="0"/>
          <w:sz w:val="24"/>
        </w:rPr>
        <w:t xml:space="preserve">We defer reviewer selection to the Editorial Board; suitable referees would combine expertise in</w:t>
      </w:r>
      <w:r>
        <w:rPr>
          <w:rFonts w:ascii="Times New Roman" w:hAnsi="Times New Roman"/>
          <w:b/>
          <w:i w:val="0"/>
          <w:sz w:val="24"/>
        </w:rPr>
        <w:t xml:space="preserve"> </w:t>
      </w:r>
      <w:r>
        <w:rPr>
          <w:rFonts w:ascii="Times New Roman" w:hAnsi="Times New Roman"/>
          <w:b/>
          <w:i w:val="0"/>
          <w:sz w:val="24"/>
        </w:rPr>
        <w:t xml:space="preserve">generative molecular design with energetic-materials chemistry. We do not request the exclusion of any</w:t>
      </w:r>
      <w:r>
        <w:rPr>
          <w:rFonts w:ascii="Times New Roman" w:hAnsi="Times New Roman"/>
          <w:b/>
          <w:i w:val="0"/>
          <w:sz w:val="24"/>
        </w:rPr>
        <w:t xml:space="preserve"> </w:t>
      </w:r>
      <w:r>
        <w:rPr>
          <w:rFonts w:ascii="Times New Roman" w:hAnsi="Times New Roman"/>
          <w:b/>
          <w:i w:val="0"/>
          <w:sz w:val="24"/>
        </w:rPr>
        <w:t xml:space="preserve">referees.</w:t>
      </w:r>
    </w:p>
    <w:p>
      <w:pPr>
        <w:pStyle w:val="Subtitle"/>
        <w:spacing w:before="0" w:after="160"/>
        <w:jc w:val="center"/>
        <w:keepNext w:val="0"/>
        <w:keepLines/>
        <w:widowControl w:val="1"/>
      </w:pPr>
      <w:r>
        <w:rPr>
          <w:rFonts w:ascii="Times New Roman" w:hAnsi="Times New Roman"/>
          <w:b w:val="0"/>
          <w:i/>
          <w:sz w:val="20"/>
        </w:rPr>
        <w:t xml:space="preserve">With kind regards,</w:t>
      </w:r>
    </w:p>
    <w:p>
      <w:pPr>
        <w:pStyle w:val="Subtitle"/>
        <w:spacing w:before="0" w:after="160"/>
        <w:jc w:val="center"/>
        <w:keepNext w:val="0"/>
        <w:keepLines/>
        <w:widowControl w:val="1"/>
      </w:pPr>
      <w:r>
        <w:rPr>
          <w:rFonts w:ascii="Times New Roman" w:hAnsi="Times New Roman"/>
          <w:b w:val="0"/>
          <w:i/>
          <w:sz w:val="20"/>
        </w:rPr>
        <w:t xml:space="preserve">Yehudit Aperstein, Ph.D.</w:t>
      </w:r>
    </w:p>
    <w:p>
      <w:pPr>
        <w:pStyle w:val="Subtitle"/>
        <w:spacing w:before="0" w:after="160"/>
        <w:jc w:val="center"/>
        <w:keepNext w:val="0"/>
        <w:keepLines/>
        <w:widowControl w:val="1"/>
      </w:pPr>
      <w:r>
        <w:rPr>
          <w:rFonts w:ascii="Times New Roman" w:hAnsi="Times New Roman"/>
          <w:b w:val="0"/>
          <w:i/>
          <w:sz w:val="20"/>
        </w:rPr>
        <w:t xml:space="preserve">Corresponding author · Department of Intelligent Systems, Afeka Tel-Aviv College of Engineering, Tel-Aviv, Israel · apersteiny@afeka.ac.il</w:t>
      </w:r>
    </w:p>
    <w:p>
      <w:pPr>
        <w:pStyle w:val="Subtitle"/>
        <w:spacing w:before="0" w:after="160"/>
        <w:jc w:val="center"/>
        <w:keepNext w:val="0"/>
        <w:keepLines/>
        <w:widowControl w:val="1"/>
      </w:pPr>
      <w:r>
        <w:rPr>
          <w:rFonts w:ascii="Times New Roman" w:hAnsi="Times New Roman"/>
          <w:b w:val="0"/>
          <w:i/>
          <w:sz w:val="20"/>
        </w:rPr>
        <w:t xml:space="preserve">Alexander Apartsin, Ph.D.</w:t>
      </w:r>
    </w:p>
    <w:p>
      <w:pPr>
        <w:pStyle w:val="Subtitle"/>
        <w:spacing w:before="0" w:after="160"/>
        <w:jc w:val="center"/>
        <w:keepNext w:val="0"/>
        <w:keepLines/>
        <w:widowControl w:val="1"/>
      </w:pPr>
      <w:r>
        <w:rPr>
          <w:rFonts w:ascii="Times New Roman" w:hAnsi="Times New Roman"/>
          <w:b w:val="0"/>
          <w:i/>
          <w:sz w:val="20"/>
        </w:rPr>
        <w:t xml:space="preserve">School of Computer Science, Faculty of Sciences, Holon Institute of Technology (HIT), Holon, Israel</w:t>
      </w:r>
    </w:p>
    <w:p>
      <w:pPr>
        <w:pStyle w:val="Subtitle"/>
        <w:spacing w:before="0" w:after="40"/>
        <w:jc w:val="center"/>
        <w:keepNext/>
        <w:keepLines/>
        <w:widowControl w:val="1"/>
      </w:pPr>
      <w:r>
        <w:rPr>
          <w:rFonts w:ascii="Times New Roman" w:hAnsi="Times New Roman"/>
          <w:b/>
          <w:i w:val="0"/>
          <w:sz w:val="24"/>
        </w:rPr>
        <w:t xml:space="preserve">Editing note (not part of the letter): select the Collection “Generative Modeling for Chemistry</w:t>
      </w:r>
      <w:r>
        <w:rPr>
          <w:rFonts w:ascii="Times New Roman" w:hAnsi="Times New Roman"/>
          <w:b/>
          <w:i w:val="0"/>
          <w:sz w:val="24"/>
        </w:rPr>
        <w:t xml:space="preserve"> </w:t>
      </w:r>
      <w:r>
        <w:rPr>
          <w:rFonts w:ascii="Times New Roman" w:hAnsi="Times New Roman"/>
          <w:b/>
          <w:i w:val="0"/>
          <w:sz w:val="24"/>
        </w:rPr>
        <w:t xml:space="preserve">Discovery” in the submission portal.</w:t>
      </w:r>
    </w:p>
    <w:sectPr w:rsidR="00FC693F" w:rsidRPr="0006063C" w:rsidSect="00034616">
      <w:footerReference w:type="default" r:id="rId9"/>
      <w:pgSz w:h="15840" w:w="12240"/>
      <w:pgMar w:bottom="1440" w:footer="720" w:gutter="0" w:header="720" w:left="1440" w:right="1440" w:top="1440"/>
      <w:lnNumType w:countBy="1" w:start="1" w:restart="continuous" w:distance="36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before="0" w:after="0"/>
      <w:jc w:val="center"/>
    </w:pPr>
    <w:r>
      <w:rPr>
        <w:rFonts w:ascii="Times New Roman" w:hAnsi="Times New Roman"/>
        <w:sz w:val="20"/>
      </w:rPr>
      <w:fldChar w:fldCharType="begin"/>
      <w:instrText xml:space="preserve">PAGE</w:instrText>
      <w:fldChar w:fldCharType="separate"/>
      <w:t>1</w: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  <w:autoHyphenation w:val="true"/>
  <w:doNotHyphenateCaps w:val="false"/>
  <w:consecutiveHyphenLimit w:val="2"/>
  <w:hyphenationZone w:val="288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keepNext w:val="0"/>
      <w:spacing w:after="0" w:before="0" w:line="480" w:lineRule="auto"/>
    </w:pPr>
    <w:rPr>
      <w:rFonts w:ascii="Times New Roman" w:hAnsi="Times New Roman"/>
      <w:b w:val="0"/>
      <w:i w:val="0"/>
      <w:sz w:val="24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20" w:before="240"/>
      <w:outlineLvl w:val="0"/>
    </w:pPr>
    <w:rPr>
      <w:rFonts w:ascii="Times New Roman" w:asciiTheme="majorHAnsi" w:cstheme="majorBidi" w:eastAsiaTheme="majorEastAsia" w:hAnsi="Times New Roman" w:hAnsiTheme="majorHAnsi"/>
      <w:b/>
      <w:bCs/>
      <w:i w:val="0"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80" w:before="200"/>
      <w:outlineLvl w:val="1"/>
    </w:pPr>
    <w:rPr>
      <w:rFonts w:ascii="Times New Roman" w:asciiTheme="majorHAnsi" w:cstheme="majorBidi" w:eastAsiaTheme="majorEastAsia" w:hAnsi="Times New Roman" w:hAnsiTheme="majorHAnsi"/>
      <w:b/>
      <w:bCs/>
      <w:i w:val="0"/>
      <w:color w:themeColor="accent1" w:val="4F81BD"/>
      <w:sz w:val="24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80" w:before="160"/>
      <w:outlineLvl w:val="2"/>
    </w:pPr>
    <w:rPr>
      <w:rFonts w:ascii="Times New Roman" w:asciiTheme="majorHAnsi" w:cstheme="majorBidi" w:eastAsiaTheme="majorEastAsia" w:hAnsi="Times New Roman" w:hAnsiTheme="majorHAnsi"/>
      <w:b/>
      <w:bCs/>
      <w:i w:val="0"/>
      <w:color w:themeColor="accent1" w:val="4F81BD"/>
      <w:sz w:val="22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keepNext w:val="0"/>
      <w:pBdr>
        <w:bottom w:color="4F81BD" w:space="4" w:sz="8" w:themeColor="accent1" w:val="single"/>
      </w:pBdr>
      <w:spacing w:after="160" w:before="0" w:line="240" w:lineRule="auto"/>
      <w:contextualSpacing/>
      <w:jc w:val="center"/>
    </w:pPr>
    <w:rPr>
      <w:rFonts w:ascii="Times New Roman" w:asciiTheme="majorHAnsi" w:cstheme="majorBidi" w:eastAsiaTheme="majorEastAsia" w:hAnsi="Times New Roman" w:hAnsiTheme="majorHAnsi"/>
      <w:b/>
      <w:i w:val="0"/>
      <w:color w:themeColor="text2" w:themeShade="BF" w:val="17365D"/>
      <w:spacing w:val="5"/>
      <w:kern w:val="28"/>
      <w:sz w:val="36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keepNext w:val="0"/>
      <w:numPr>
        <w:ilvl w:val="1"/>
      </w:numPr>
      <w:spacing w:after="80" w:before="0"/>
      <w:jc w:val="center"/>
    </w:pPr>
    <w:rPr>
      <w:rFonts w:ascii="Times New Roman" w:asciiTheme="majorHAnsi" w:cstheme="majorBidi" w:eastAsiaTheme="majorEastAsia" w:hAnsi="Times New Roman" w:hAnsiTheme="majorHAnsi"/>
      <w:b w:val="0"/>
      <w:i w:val="0"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keepNext w:val="0"/>
      <w:spacing w:after="0" w:before="0" w:line="480" w:lineRule="auto"/>
      <w:ind w:firstLine="720"/>
      <w:jc w:val="both"/>
    </w:pPr>
    <w:rPr>
      <w:rFonts w:ascii="Times New Roman" w:hAnsi="Times New Roman"/>
      <w:b w:val="0"/>
      <w:i w:val="0"/>
      <w:sz w:val="24"/>
    </w:r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customStyle="1" w:styleId="FirstParagraph" w:type="paragraph">
    <w:name w:val="First Paragraph"/>
    <w:basedOn w:val="BodyText"/>
    <w:pPr>
      <w:keepNext w:val="0"/>
      <w:spacing w:after="0" w:before="0" w:line="480" w:lineRule="auto"/>
      <w:ind w:firstLine="0"/>
      <w:jc w:val="both"/>
    </w:pPr>
    <w:rPr>
      <w:rFonts w:ascii="Times New Roman" w:hAnsi="Times New Roman"/>
      <w:b w:val="0"/>
      <w:i w:val="0"/>
      <w:sz w:val="24"/>
    </w:rPr>
  </w:style>
  <w:style w:customStyle="1" w:styleId="Compact" w:type="paragraph">
    <w:name w:val="Compact"/>
    <w:basedOn w:val="BodyText"/>
    <w:pPr>
      <w:keepNext w:val="0"/>
      <w:spacing w:after="40" w:before="0" w:line="252" w:lineRule="auto"/>
      <w:ind w:left="317" w:hanging="259"/>
      <w:jc w:val="both"/>
    </w:pPr>
    <w:rPr>
      <w:rFonts w:ascii="Times New Roman" w:hAnsi="Times New Roman"/>
      <w:b w:val="0"/>
      <w:i w:val="0"/>
      <w:sz w:val="24"/>
    </w:rPr>
  </w:style>
  <w:style w:customStyle="1" w:styleId="AbstractLabel" w:type="paragraph">
    <w:name w:val="Abstract Label"/>
    <w:basedOn w:val="BodyText"/>
    <w:pPr>
      <w:keepNext/>
      <w:spacing w:after="80" w:before="80"/>
      <w:ind w:firstLine="0"/>
      <w:jc w:val="center"/>
    </w:pPr>
    <w:rPr>
      <w:rFonts w:ascii="Times New Roman" w:hAnsi="Times New Roman"/>
      <w:b/>
      <w:i w:val="0"/>
      <w:sz w:val="24"/>
    </w:rPr>
  </w:style>
  <w:style w:customStyle="1" w:styleId="Keywords" w:type="paragraph">
    <w:name w:val="Keywords"/>
    <w:basedOn w:val="BodyText"/>
    <w:pPr>
      <w:keepNext w:val="0"/>
      <w:spacing w:after="80" w:before="0"/>
      <w:ind w:firstLine="0"/>
      <w:jc w:val="both"/>
    </w:pPr>
    <w:rPr>
      <w:rFonts w:ascii="Times New Roman" w:hAnsi="Times New Roman"/>
      <w:b w:val="0"/>
      <w:i w:val="0"/>
      <w:sz w:val="24"/>
    </w:rPr>
  </w:style>
  <w:style w:customStyle="1" w:styleId="ImageCaption" w:type="paragraph">
    <w:name w:val="Image Caption"/>
    <w:basedOn w:val="BodyText"/>
    <w:pPr>
      <w:keepNext w:val="0"/>
      <w:spacing w:after="120" w:before="80" w:line="240" w:lineRule="auto"/>
      <w:jc w:val="center"/>
    </w:pPr>
    <w:rPr>
      <w:rFonts w:ascii="Times New Roman" w:hAnsi="Times New Roman"/>
      <w:b w:val="0"/>
      <w:i/>
      <w:sz w:val="20"/>
    </w:rPr>
  </w:style>
  <w:style w:customStyle="1" w:styleId="TableCaption" w:type="paragraph">
    <w:name w:val="Table Caption"/>
    <w:basedOn w:val="BodyText"/>
    <w:pPr>
      <w:keepNext/>
      <w:spacing w:after="60" w:before="280" w:line="240" w:lineRule="auto"/>
      <w:jc w:val="center"/>
    </w:pPr>
    <w:rPr>
      <w:rFonts w:ascii="Times New Roman" w:hAnsi="Times New Roman"/>
      <w:b w:val="0"/>
      <w:i/>
      <w:sz w:val="20"/>
    </w:rPr>
  </w:style>
  <w:style w:customStyle="1" w:styleId="ReferencesHeading" w:type="paragraph">
    <w:name w:val="References Heading"/>
    <w:basedOn w:val="Heading1"/>
    <w:pPr>
      <w:keepNext/>
      <w:spacing w:after="120" w:before="240"/>
    </w:pPr>
    <w:rPr>
      <w:rFonts w:ascii="Times New Roman" w:hAnsi="Times New Roman"/>
      <w:b/>
      <w:i w:val="0"/>
      <w:sz w:val="28"/>
    </w:rPr>
  </w:style>
  <w:style w:customStyle="1" w:styleId="ReferenceEntry" w:type="paragraph">
    <w:name w:val="Reference Entry"/>
    <w:basedOn w:val="BodyText"/>
    <w:pPr>
      <w:keepNext w:val="0"/>
      <w:spacing w:after="100" w:before="0" w:line="259" w:lineRule="auto"/>
      <w:ind w:left="475" w:hanging="475"/>
      <w:jc w:val="left"/>
    </w:pPr>
    <w:rPr>
      <w:rFonts w:ascii="Times New Roman" w:hAnsi="Times New Roman"/>
      <w:b w:val="0"/>
      <w:i w:val="0"/>
      <w:sz w:val="20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</dc:language>
  <cp:keywords/>
  <dcterms:created xsi:type="dcterms:W3CDTF">2026-08-03T15:29:58Z</dcterms:created>
  <dcterms:modified xsi:type="dcterms:W3CDTF">2026-08-03T15:29:58Z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viewport">
    <vt:lpwstr>width=device-width, initial-scale=1</vt:lpwstr>
  </property>
</Properties>
</file>