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w:t>
            </w:r>
            <w:r>
              <w:rPr>
                <w:rFonts w:ascii="Times New Roman" w:hAnsi="Times New Roman"/>
                <w:sz w:val="19"/>
              </w:rPr>
              <w:t xml:space="preserve"> </w:t>
            </w:r>
            <w:hyperlink w:anchor="ref-cameo">
              <w:r>
                <w:rPr>
                  <w:rStyle w:val="Hyperlink"/>
                </w:rPr>
                <w:t xml:space="preserve">[00]</w:t>
              </w:r>
            </w:hyperlink>
            <w:r>
              <w:rPr>
                <w:rFonts w:ascii="Times New Roman" w:hAnsi="Times New Roman"/>
                <w:sz w:val="19"/>
              </w:rPr>
              <w:t xml:space="preserve"> </w:t>
            </w:r>
            <w:r>
              <w:rPr>
                <w:rFonts w:ascii="Times New Roman" w:hAnsi="Times New Roman"/>
                <w:sz w:val="19"/>
              </w:rPr>
              <w:t xml:space="preserve">+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an expected sanity-check rediscovery.</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~2069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ZINC-15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2-model scaffold-split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§4.6).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§4.8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§4.7).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a 2-anchor fit (RDX/TATB only) is under-determined, which is why the 6-anchor panel is used.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11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1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11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1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 R2 (the N-nitroimine oxime-nitrate-imidazoline) is a reference-class compound flagged by the strengthened SMARTS gate, not a chem-pass lead:</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11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11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11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1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1.22</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1.69</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reflects the open-form Q approximation (Q ≈ ΔHf/MW without product-side subtraction); the per-lead Table C.2 values use the closed-form K-J, for which the residual stays negative across this regime.</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312b1e540ba401b2ae6391b9eda3d5a926d9c43"/>
    <w:p>
      <w:pPr>
        <w:pStyle w:val="Subtitle"/>
        <w:spacing w:before="0" w:after="40"/>
        <w:jc w:val="center"/>
        <w:keepNext/>
        <w:keepLines/>
        <w:widowControl w:val="1"/>
      </w:pPr>
      <w:r>
        <w:rPr>
          <w:rFonts w:ascii="Times New Roman" w:hAnsi="Times New Roman"/>
          <w:b/>
          <w:i w:val="0"/>
          <w:sz w:val="24"/>
        </w:rPr>
        <w:t xml:space="preserve">D. Reproducibility details and extended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supporting configuration detail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NTO)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we quantify generalisation separately by 5-fold cross-validation across all 196 hazard-dataset rows, which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template-coverage discussion for L4, L5, and the eight extension leads, and the drug-domain template-bias argument. The headline is reported in §5.4 (1/11 USPTO-template hit rate; L1 reachable in 4 steps with state score 0.50; eight-lead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Template coverage for L4, L5, and the eight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result is stable to search budget: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NTO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so E1 is reproduced by two independent sampling routes.</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nearly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2026-08-01T03:47:32Z</dcterms:created>
  <dcterms:modified xsi:type="dcterms:W3CDTF">2026-08-01T03:47:32Z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