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Designing high-energy-density materials is data-limited: of ~66,000 CHNO molecules with reported detonation properties, only ~3,000 carry trustworthy experimental or DFT values, so models memorise the high-performance tail or extrapolate uncalibrated. We introduce Domain-Gated Latent Diffusion (DGLD) , coupling generative design to first-principles validation. A four-tier label-trust gate routes only high-quality labels into the conditional gradient while noisy labels train the unconditional prior; a score model adds switchable steering over viability, sensitivity, and hazard; and a four-stage funnel (SMARTS filter, Pareto reranker, GFN2-xTB triage, two-level DFT) validates every candidate. DGLD yields 10 unique DFT-confirmed leads, novel against PubChem; the headline compound, 3,4,5-trinitro-1,2-isoxazole, reaches a calibrated density of 2.09 g cm −3 and a Kamlet–Jacobs detonation velocity of 8.25 km s −1 , and is distinct from all 65,980 training molecules (Tanimoto 0.27). On the same recipe the HMX and PETN anchors calibrate to 7.52 and 8.24 km s −1 , ranking it with the strongest anchors. Against four baselines on the same corpus, DGLD is the only method whose novel candidates are shown to stay competitive under DFT validation. The label-trust gate is domain-agnostic, transferring to any inverse-design task with abundant weak and scarce trustworthy labels; code, model checkpoints, and 918 mined hard negatives are released openly under a permanent DOI.</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decades since. The space of synthesisable CHNO small molecules with the right balance of crystal density, oxygen balance (OB), heat of formation (HOF),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Uni-Mol-surrogate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10 unique DFT-confirmed novel leads (11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energetics-domain baselines (SMILES-LSTM, SELFIES-GA, REINVENT 4), DGLD is the only method whose novel candidates remain on-target under first-principles DFT validation: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 a surrogate</w:t>
      </w:r>
      <w:r>
        <w:t xml:space="preserve"> </w:t>
      </w:r>
      <m:oMath>
        <m:r>
          <m:t>D</m:t>
        </m:r>
        <m:r>
          <m:rPr>
            <m:sty m:val="p"/>
          </m:rPr>
          <m:t>=</m:t>
        </m:r>
        <m:r>
          <m:t>9.02</m:t>
        </m:r>
      </m:oMath>
      <w:r>
        <w:t xml:space="preserve"> km s</w:t>
      </w:r>
      <w:r>
        <w:rPr>
          <w:vertAlign w:val="superscript"/>
        </w:rPr>
        <w:t xml:space="preserve">−1</w:t>
      </w:r>
      <w:r>
        <w:t xml:space="preserve"> </w:t>
      </w:r>
      <w:r>
        <w:t xml:space="preserve">that was not DFT-audited. Separately, the unguided sampler independently recovered E1 (4-nitro-1,2,3,5-oxatriazole), a known oxatriazole (PubChem CID 57438703) rather than a novel structure,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(DGLD points on the</w:t>
      </w:r>
      <w:r>
        <w:t xml:space="preserve"> </w:t>
      </w:r>
      <m:oMath>
        <m:r>
          <m:t>D</m:t>
        </m:r>
      </m:oMath>
      <w:r>
        <w:t xml:space="preserve"> </w:t>
      </w:r>
      <w:r>
        <w:t xml:space="preserve">panel are Uni-Mol surrogate scores and the anchors are at their reported literature</w:t>
      </w:r>
      <w:r>
        <w:t xml:space="preserve"> </w:t>
      </w:r>
      <m:oMath>
        <m:r>
          <m:t>D</m:t>
        </m:r>
      </m:oMath>
      <w:r>
        <w:t xml:space="preserve">; only the DFT-calibrated Kamlet–Jacobs values for the DGLD leads, in Table 2, are directly scale-matched to the anchors).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(Uni-Mol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4.1).</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(Section 4.11),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Eleven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Uni-Mol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The unguided sampler additionally recovered the known oxatriazole E1 (above); the extension set spans eight Bemis–Murcko scaffolds across seven chemotype families, of which E1, E6, and E9 are known compounds.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(CFG),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(our in-house Uni-Mol detonation-property regression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w:t>
      </w:r>
      <w:r>
        <w:t xml:space="preserve"> </w:t>
      </w:r>
      <w:hyperlink w:anchor="ref-bondi1964vdw">
        <w:r>
          <w:rPr>
            <w:rStyle w:val="Hyperlink"/>
          </w:rPr>
          <w:t xml:space="preserve">[41]</w:t>
        </w:r>
      </w:hyperlink>
      <w:r>
        <w:t xml:space="preserve"> </w:t>
      </w:r>
      <w:r>
        <w:t xml:space="preserve">+ 6-anchor-calibration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[42]</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[43]</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[44]</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[45]</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[43]</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[46]</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[47]</w:t>
        </w:r>
      </w:hyperlink>
      <w:r>
        <w:t xml:space="preserve"> </w:t>
      </w:r>
      <w:r>
        <w:t xml:space="preserve">remains a strong message-passing-graph default; SchNet</w:t>
      </w:r>
      <w:r>
        <w:t xml:space="preserve"> </w:t>
      </w:r>
      <w:hyperlink w:anchor="ref-schutt2018schnet">
        <w:r>
          <w:rPr>
            <w:rStyle w:val="Hyperlink"/>
          </w:rPr>
          <w:t xml:space="preserve">[48]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[49]</w:t>
        </w:r>
      </w:hyperlink>
      <w:r>
        <w:t xml:space="preserve"> </w:t>
      </w:r>
      <w:r>
        <w:t xml:space="preserve">uses symmetry-adapted atomic-orbital features to predict quantum-chemical observables at semi-empirical cost. We do not use these networks directly: the smoke-model Uni-Mol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[50]</w:t>
        </w:r>
      </w:hyperlink>
      <w:r>
        <w:t xml:space="preserve"> </w:t>
      </w:r>
      <w:r>
        <w:t xml:space="preserve">and GuacaMol</w:t>
      </w:r>
      <w:r>
        <w:t xml:space="preserve"> </w:t>
      </w:r>
      <w:hyperlink w:anchor="ref-brown2019guacamol">
        <w:r>
          <w:rPr>
            <w:rStyle w:val="Hyperlink"/>
          </w:rPr>
          <w:t xml:space="preserve">[51]</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[52]</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[53]</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w:t>
      </w:r>
      <w:r>
        <w:t xml:space="preserve"> </w:t>
      </w:r>
      <w:hyperlink w:anchor="ref-sterling2015zinc">
        <w:r>
          <w:rPr>
            <w:rStyle w:val="Hyperlink"/>
          </w:rPr>
          <w:t xml:space="preserve">[54]</w:t>
        </w:r>
      </w:hyperlink>
      <w:r>
        <w:t xml:space="preserve">+PubChem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[55]</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[56]</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[57]</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[58]</w:t>
        </w:r>
      </w:hyperlink>
      <w:r>
        <w:t xml:space="preserve"> </w:t>
      </w:r>
      <w:r>
        <w:t xml:space="preserve">is the semi-empirical tight-binding method we use for sample-time HOMO–LUMO gap triage on top leads (Section 2.3, Supplementary Section C.12); it runs in seconds per molecule on CPU, is well-calibrated for organic CHNO, and provides a stability proxy that is independent of the Uni-Mol surrogate's training distribution. The gpu4pyscf bindings on top of the PySCF framework</w:t>
      </w:r>
      <w:r>
        <w:t xml:space="preserve"> </w:t>
      </w:r>
      <w:hyperlink w:anchor="ref-sun2020pyscf">
        <w:r>
          <w:rPr>
            <w:rStyle w:val="Hyperlink"/>
          </w:rPr>
          <w:t xml:space="preserve">[59]</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[60]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[61]</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S5)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Eleven DGLD lead cards in a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Eleven chem-pass DGLD leads (L1, L3, L4, 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 L3–L5)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 leads (Figure 3, L1 and L3–L5) have viability 0.83–1.00, MW between 163 and 218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Uni-Mol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yields the more physically-credible final set, which is the production configuration.</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11 chem-pass leads alongside two anchors (RDX, TATB) using GPU4PySCF (density from Bondi van-der-Waals integration with packing 0.69).</w:t>
      </w:r>
      <w:r>
        <w:t xml:space="preserve"> </w:t>
      </w:r>
      <w:r>
        <w:rPr>
          <w:b/>
          <w:bCs/>
        </w:rPr>
        <w:t xml:space="preserve">All eleven chem-pass leads + two anchors are real local minima</w:t>
      </w:r>
      <w:r>
        <w:t xml:space="preserve"> </w:t>
      </w:r>
      <w:r>
        <w:t xml:space="preserve">(no imaginary frequencies; min real modes 6.8–52 cm</w:t>
      </w:r>
      <w:r>
        <w:rPr>
          <w:vertAlign w:val="superscript"/>
        </w:rPr>
        <w:t xml:space="preserve">−1</w:t>
      </w:r>
      <w:r>
        <w:t xml:space="preserve">, with near-zero soft-torsion modes in L9 and L20); three SMARTS-rejected reference scaffolds (R2, R3, R14) optimised under the same protocol are in Supplementary Section C.5. The candidates that do not advance to Stage 4 are accounted for in Supplementary Section C.5 (45 removed at the Stage-2 hard filters; 28 fail K-J/imaginary-frequency/composition gates).</w:t>
      </w:r>
    </w:p>
    <w:p>
      <w:pPr>
        <w:pStyle w:val="MDPI31text"/>
        <w:ind w:left="2608"/>
      </w:pPr>
      <w:r>
        <w:rPr>
          <w:b/>
          <w:bCs/>
        </w:rPr>
        <w:t xml:space="preserve">6-anchor calibration (Table 1).</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S12):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11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Uni-Mol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Uni-Mol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Uni-Mol-predicted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S12).</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Uni-Mol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A scaffold-diversity audit shows DGLD spans a chemotype distribution (the scaffold-distinct E-set extension, E1–E10: 10 DFT leads / 8 Bemis–Murcko scaffolds / 7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have no near-neighbour above Tanimoto 0.55 in the 65 980-row labelled master</w:t>
      </w:r>
      <w:r>
        <w:t xml:space="preserve"> </w:t>
      </w:r>
      <w:r>
        <w:t xml:space="preserve">(Table 3); of the three that do (dinitramide, 1,2-dinitrohydrazine, N,N′-dinitrocarbodiimide), one is an exact match, and all three are established high-density CHNO motifs the model recovers. Novelty here is assessed against PubChem and the labelled master; a full CAS Registry (SciFinder) check is recommended before a formal novelty claim, and the structurally simplest leads (L5, L19) warrant a targeted patent search.</w:t>
      </w:r>
      <w:r>
        <w:t xml:space="preserve"> </w:t>
      </w:r>
      <w:r>
        <w:rPr>
          <w:b/>
          <w:bCs/>
        </w:rPr>
        <w:t xml:space="preserve">Zero of the 100 candidates lie within Tanimoto 0.70 of any augmented-corpus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 Applied to the DFT-audited set, this strengthened gate flags one N-nitroimine (oxime-nitrate-imidazoline) that the production SMARTS gate passes; it is tabulated as reference R2 (Table S8), not a chem-pass lead, so the confirmed set is 11 leads (10 unique).</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[60]</w:t>
        </w:r>
      </w:hyperlink>
      <w:r>
        <w:t xml:space="preserve"> </w:t>
      </w:r>
      <w:r>
        <w:t xml:space="preserve">with public USPTO expansion + filter policies and the ZINC in-stock catalog (200 MCTS iter, 300 s/target) was applied to L1, L4, L5 and then extended to the remaining eight chem-pass leads.</w:t>
      </w:r>
      <w:r>
        <w:t xml:space="preserve"> </w:t>
      </w:r>
      <w:r>
        <w:rPr>
          <w:b/>
          <w:bCs/>
        </w:rPr>
        <w:t xml:space="preserve">L1 returns 9 productive routes; the top route is 4 steps with state score 0.50</w:t>
      </w:r>
      <w:r>
        <w:t xml:space="preserve"> </w:t>
      </w:r>
      <w:r>
        <w:t xml:space="preserve">(Table 4). L4, L5, and the eight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1/11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7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5 and 6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 E1, E6, and E9 are known compounds (recovered, not novel; E1 PubChem CID 57438703, E6 CID 201040, E9 1H-tetrazole).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independent recovery of a known structure.</w:t>
      </w:r>
      <w:r>
        <w:t xml:space="preserve"> </w:t>
      </w:r>
      <w:r>
        <w:t xml:space="preserve">E1 (4-nitro-1,2,3,5-oxatriazole) is a</w:t>
      </w:r>
      <w:r>
        <w:t xml:space="preserve"> </w:t>
      </w:r>
      <w:r>
        <w:rPr>
          <w:i/>
          <w:iCs/>
        </w:rPr>
        <w:t xml:space="preserve">known</w:t>
      </w:r>
      <w:r>
        <w:t xml:space="preserve"> </w:t>
      </w:r>
      <w:r>
        <w:t xml:space="preserve">compound (PubChem CID 57438703), not a novel structure; the unguided sampler surfaced it independently, an external check that DGLD reaches genuine energetic chemotypes. Under the same 6-anchor calibration applied to L1, E1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E1's calibrated</w:t>
      </w:r>
      <w:r>
        <w:t xml:space="preserve"> </w:t>
      </w:r>
      <m:oMath>
        <m:r>
          <m:t>D</m:t>
        </m:r>
      </m:oMath>
      <w:r>
        <w:t xml:space="preserve"> </w:t>
      </w:r>
      <w:r>
        <w:t xml:space="preserve">exceeds L1's, though its calibrated density is marginally lower (2.04 vs 2.09 g cm</w:t>
      </w:r>
      <w:r>
        <w:rPr>
          <w:vertAlign w:val="superscript"/>
        </w:rPr>
        <w:t xml:space="preserve">−3</w:t>
      </w:r>
      <w:r>
        <w:t xml:space="preserve">).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read as a lower-confidence corroborating datapoint, it marks a second HMX-class-range performance point from a chemotype family disjoint from L1's (for a known structure, an external-validation signal rather than a new lead),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 (Tables 5 and 6),</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10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is the top-ranked novel lead, and the sampler's independent recovery of the known oxatriazole E1 shows its reach spans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(head-to-head in Supplementary Section F.4).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Uni-Mol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Uni-Mol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 Supplementary Section E 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11 DFT-confirmed lead cards (10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L3–L5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 L3–L5 from Section 2.2 prose;</w:t>
      </w:r>
      <w:r>
        <w:t xml:space="preserve"> </w:t>
      </w:r>
      <m:oMath>
        <m:sSub>
          <m:e>
            <m:r>
              <m:t>h</m:t>
            </m:r>
          </m:e>
          <m:sub>
            <m:r>
              <m:t>50</m:t>
            </m:r>
          </m:sub>
        </m:sSub>
      </m:oMath>
      <w:r>
        <w:t xml:space="preserve"> </w:t>
      </w:r>
      <w:r>
        <w:t xml:space="preserve">from Table S7;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S27.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 Supplementary Section F.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(4.8×);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with top-1</w:t>
      </w:r>
      <w:r>
        <w:t xml:space="preserve"> </w:t>
      </w:r>
      <m:oMath>
        <m:r>
          <m:t>D</m:t>
        </m:r>
      </m:oMath>
      <w:r>
        <w:t xml:space="preserve"> </w:t>
      </w:r>
      <w:r>
        <w:t xml:space="preserve">invariant across conditions; the qualitative ablation conclusions are robust to seed across all six guidance axes (Table S27,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make a latent diffusion model a</w:t>
      </w:r>
      <w:r>
        <w:t xml:space="preserve"> </w:t>
      </w:r>
      <w:r>
        <w:rPr>
          <w:i/>
          <w:iCs/>
        </w:rPr>
        <w:t xml:space="preserve">productive-quadrant generator</w:t>
      </w:r>
      <w:r>
        <w:t xml:space="preserve">: the tier gate keeps miscalibrated labels out of the conditional gradient, so sampling concentrates where candidates are both novel and, under first-principles validation, competitive with the HMX/PETN reference class. The top-ranked novel lead L1 (3,4,5-trinitro-1,2-isoxazole) and the independently recovered known oxatriazole E1 (4-nitro-1,2,3,5-oxatriazole, PubChem CID 57438703) come from disjoint chemotype families on a single sampling run, external evidence that DGLD’s scaffold reach spans multiple chemotype classes; the 10 novel L-set leads themselves cover several scaffolds (E1’s placement pending an oxatriazole-class DFT anchor).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±0.29 km s</w:t>
      </w:r>
      <w:r>
        <w:rPr>
          <w:vertAlign w:val="superscript"/>
        </w:rPr>
        <w:t xml:space="preserve">−1</w:t>
      </w:r>
      <w:r>
        <w:t xml:space="preserve"> </w:t>
      </w:r>
      <w:r>
        <w:t xml:space="preserve">in</w:t>
      </w:r>
      <w:r>
        <w:t xml:space="preserve"> </w:t>
      </w:r>
      <m:oMath>
        <m:r>
          <m:t>D</m:t>
        </m:r>
      </m:oMath>
      <w:r>
        <w:t xml:space="preserve">, comparable to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w:t>
      </w:r>
      <w:r>
        <w:t xml:space="preserve"> </w:t>
      </w:r>
      <w:hyperlink w:anchor="ref-csp-cgd-2023">
        <w:r>
          <w:rPr>
            <w:rStyle w:val="Hyperlink"/>
          </w:rPr>
          <w:t xml:space="preserve">[66]</w:t>
        </w:r>
      </w:hyperlink>
      <w:r>
        <w:t xml:space="preserve"> </w:t>
      </w:r>
      <w:r>
        <w:t xml:space="preserve">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Uni-Mol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DNTF lies outside the calibration's applicability domain (a furazan-class outlier, Supplementary Section C.11), so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Uni-Mol residual reported in Section 2.3 is consistent with the typical disagreement between Kamlet–Jacobs and full Chapman–Jouguet thermochemical-equilibrium codes (EXPLO5, Sućeska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Uni-Mol</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ten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stable across denoiser-init seeds.</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Uni-Mol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Uni-Mol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Uni-Mol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w:t>
      </w:r>
      <w:r>
        <w:t xml:space="preserve"> </w:t>
      </w:r>
      <w:hyperlink w:anchor="ref-emdb">
        <w:r>
          <w:rPr>
            <w:rStyle w:val="Hyperlink"/>
          </w:rPr>
          <w:t xml:space="preserve">[67]</w:t>
        </w:r>
      </w:hyperlink>
      <w:r>
        <w:t xml:space="preserve">;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(Uni-Mol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[68]</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S2.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S2.</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S3.</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S3).</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S3.</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S3.</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The combination is a post-decode union of the two lanes' SMILES pools, with no weight interpolation or output averaging.</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Uni-Mol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[43]</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w:t>
      </w:r>
      <w:r>
        <w:t xml:space="preserve"> </w:t>
      </w:r>
      <w:hyperlink w:anchor="ref-bruns2020watson">
        <w:r>
          <w:rPr>
            <w:rStyle w:val="Hyperlink"/>
          </w:rPr>
          <w:t xml:space="preserve">[69]</w:t>
        </w:r>
      </w:hyperlink>
      <w:r>
        <w:t xml:space="preserve"> </w:t>
      </w:r>
      <w:r>
        <w:t xml:space="preserve">yields</w:t>
      </w:r>
      <w:r>
        <w:t xml:space="preserve"> </w:t>
      </w:r>
      <m:oMath>
        <m:sSub>
          <m:e>
            <m:r>
              <m:t>y</m:t>
            </m:r>
          </m:e>
          <m:sub>
            <m:r>
              <m:rPr>
                <m:nor/>
                <m:sty m:val="p"/>
              </m:rPr>
              <m:t>haz</m:t>
            </m:r>
          </m:sub>
        </m:sSub>
      </m:oMath>
      <w:r>
        <w:t xml:space="preserve">; and a 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S4.</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S3).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[70]</w:t>
        </w:r>
      </w:hyperlink>
      <w:r>
        <w:t xml:space="preserve"> </w:t>
      </w:r>
      <w:r>
        <w:t xml:space="preserve">catalog removes radicals, sulphur, halogens, mixed valence states, and other red flags; survivors are scored by the Uni-Mol smoke ensemble. SA</w:t>
      </w:r>
      <w:r>
        <w:t xml:space="preserve"> </w:t>
      </w:r>
      <w:hyperlink w:anchor="ref-ertl2009sa">
        <w:r>
          <w:rPr>
            <w:rStyle w:val="Hyperlink"/>
          </w:rPr>
          <w:t xml:space="preserve">[55]</w:t>
        </w:r>
      </w:hyperlink>
      <w:r>
        <w:t xml:space="preserve"> </w:t>
      </w:r>
      <m:oMath>
        <m:r>
          <m:rPr>
            <m:sty m:val="p"/>
          </m:rPr>
          <m:t>≤</m:t>
        </m:r>
      </m:oMath>
      <w:r>
        <w:t xml:space="preserve"> 5.0 and SCScore</w:t>
      </w:r>
      <w:r>
        <w:t xml:space="preserve"> </w:t>
      </w:r>
      <w:hyperlink w:anchor="ref-coley2018scscore">
        <w:r>
          <w:rPr>
            <w:rStyle w:val="Hyperlink"/>
          </w:rPr>
          <w:t xml:space="preserve">[56]</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Uni-Mol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Stage-1+2 pass rate; 966 survive the full Uni-Mol + composite filter,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11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after Stage 1+2 (966 full-filter survivors,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11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(4.8×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configuration that demotes the worst model-cheat (gem-tetranitro) furthest, to viability 0.74.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2heading2"/>
        <w:ind w:left="2608"/>
      </w:pPr>
      <w:r>
        <w:t xml:space="preserve">4.16 Baseline generators</w:t>
      </w:r>
    </w:p>
    <w:p>
      <w:pPr>
        <w:pStyle w:val="MDPI32textnoindent"/>
        <w:ind w:left="2608"/>
      </w:pPr>
      <w:r>
        <w:t xml:space="preserve">Four no-diffusion baselines are run through the identical downstream validation pipeline (canonicalisation, chemistry filters, Uni-Mol surrogate scoring, novelty window) on the same training corpus, so that any difference reflects the generator rather than the evaluation.</w:t>
      </w:r>
    </w:p>
    <w:p>
      <w:pPr>
        <w:pStyle w:val="MDPI31text"/>
        <w:ind w:left="2608"/>
      </w:pPr>
      <w:r>
        <w:rPr>
          <w:b/>
          <w:bCs/>
        </w:rPr>
        <w:t xml:space="preserve">SMILES-LSTM.</w:t>
      </w:r>
      <w:r>
        <w:t xml:space="preserve"> </w:t>
      </w:r>
      <w:r>
        <w:t xml:space="preserve">A character-level LSTM (embedding</w:t>
      </w:r>
      <w:r>
        <w:t xml:space="preserve"> </w:t>
      </w:r>
      <m:oMath>
        <m:r>
          <m:rPr>
            <m:sty m:val="p"/>
          </m:rPr>
          <m:t>→</m:t>
        </m:r>
      </m:oMath>
      <w:r>
        <w:t xml:space="preserve"> </w:t>
      </w:r>
      <w:r>
        <w:t xml:space="preserve">2-layer LSTM, 512 hidden units,</w:t>
      </w:r>
      <w:r>
        <w:t xml:space="preserve"> </w:t>
      </w:r>
      <m:oMath>
        <m:r>
          <m:rPr>
            <m:sty m:val="p"/>
          </m:rPr>
          <m:t>∼</m:t>
        </m:r>
      </m:oMath>
      <w:r>
        <w:t xml:space="preserve">6 M parameters) trained from scratch on the 326 k-molecule energetic SMILES corpus (AdamW, learning rate</w:t>
      </w:r>
      <w:r>
        <w:t xml:space="preserve"> </w:t>
      </w:r>
      <m:oMath>
        <m:sSup>
          <m:e>
            <m:r>
              <m:t>10</m:t>
            </m:r>
          </m:e>
          <m:sup>
            <m:r>
              <m:rPr>
                <m:sty m:val="p"/>
              </m:rPr>
              <m:t>−</m:t>
            </m:r>
            <m:r>
              <m:t>3</m:t>
            </m:r>
          </m:sup>
        </m:sSup>
      </m:oMath>
      <w:r>
        <w:t xml:space="preserve">, weight decay</w:t>
      </w:r>
      <w:r>
        <w:t xml:space="preserve"> </w:t>
      </w:r>
      <m:oMath>
        <m:sSup>
          <m:e>
            <m:r>
              <m:t>10</m:t>
            </m:r>
          </m:e>
          <m:sup>
            <m:r>
              <m:rPr>
                <m:sty m:val="p"/>
              </m:rPr>
              <m:t>−</m:t>
            </m:r>
            <m:r>
              <m:t>4</m:t>
            </m:r>
          </m:sup>
        </m:sSup>
      </m:oMath>
      <w:r>
        <w:t xml:space="preserve">, batch 128, gradient clip 1.0, 5 epochs, sequence length</w:t>
      </w:r>
      <w:r>
        <w:t xml:space="preserve"> </w:t>
      </w:r>
      <m:oMath>
        <m:r>
          <m:rPr>
            <m:sty m:val="p"/>
          </m:rPr>
          <m:t>≤</m:t>
        </m:r>
      </m:oMath>
      <w:r>
        <w:t xml:space="preserve"> 120). Ten thousand SMILES are sampled autoregressively at temperature 1.0 for each of three seeds. This baseline matches DGLD's corpus and parameter budget but omits diffusion and score-model guidance.</w:t>
      </w:r>
    </w:p>
    <w:p>
      <w:pPr>
        <w:pStyle w:val="MDPI31text"/>
        <w:ind w:left="2608"/>
      </w:pPr>
      <w:r>
        <w:rPr>
          <w:b/>
          <w:bCs/>
        </w:rPr>
        <w:t xml:space="preserve">SELFIES-GA.</w:t>
      </w:r>
      <w:r>
        <w:t xml:space="preserve"> </w:t>
      </w:r>
      <w:r>
        <w:t xml:space="preserve">A genetic algorithm over SELFIES (</w:t>
      </w:r>
      <w:r>
        <w:rPr>
          <w:rStyle w:val="VerbatimChar"/>
        </w:rPr>
        <w:t xml:space="preserve">selfies</w:t>
      </w:r>
      <w:r>
        <w:t xml:space="preserve"> 2.1.1: token substitution/insertion/deletion up to three mutations, single-point crossover), initialised from the same corpus and optimising the DGLD Pareto composite (viability, sensitivity, novelty, performance) each generation. The primary run evolves a population of 2 000 over 30 generations (elite fraction 0.50, new fraction 0.20, crossover fraction 0.15, seed 42); a compute-matched variant evolves 40 000 over 15 generations. Every candidate is scored each generation by the same Uni-Mol surrogate; the 40 000-pool best-novel candidate is carried through the full B3LYP/6-31G(d)</w:t>
      </w:r>
      <w:r>
        <w:t xml:space="preserve"> </w:t>
      </w:r>
      <m:oMath>
        <m:r>
          <m:rPr>
            <m:sty m:val="p"/>
          </m:rPr>
          <m:t>→</m:t>
        </m:r>
      </m:oMath>
      <w:r>
        <w:t xml:space="preserve"> </w:t>
      </w:r>
      <m:oMath>
        <m:r>
          <m:t>ω</m:t>
        </m:r>
      </m:oMath>
      <w:r>
        <w:t xml:space="preserve">B97X-D3BJ/def2-TZVP</w:t>
      </w:r>
      <w:r>
        <w:t xml:space="preserve"> </w:t>
      </w:r>
      <m:oMath>
        <m:r>
          <m:rPr>
            <m:sty m:val="p"/>
          </m:rPr>
          <m:t>→</m:t>
        </m:r>
      </m:oMath>
      <w:r>
        <w:t xml:space="preserve"> </w:t>
      </w:r>
      <w:r>
        <w:t xml:space="preserve">Kamlet–Jacobs DFT audit.</w:t>
      </w:r>
    </w:p>
    <w:p>
      <w:pPr>
        <w:pStyle w:val="MDPI31text"/>
        <w:ind w:left="2608"/>
      </w:pPr>
      <w:r>
        <w:rPr>
          <w:b/>
          <w:bCs/>
        </w:rPr>
        <w:t xml:space="preserve">MolMIM 70 M.</w:t>
      </w:r>
      <w:r>
        <w:t xml:space="preserve"> </w:t>
      </w:r>
      <w:r>
        <w:t xml:space="preserve">NVIDIA MolMIM (</w:t>
      </w:r>
      <m:oMath>
        <m:r>
          <m:rPr>
            <m:sty m:val="p"/>
          </m:rPr>
          <m:t>∼</m:t>
        </m:r>
      </m:oMath>
      <w:r>
        <w:t xml:space="preserve">70 M parameters,</w:t>
      </w:r>
      <w:r>
        <w:t xml:space="preserve"> </w:t>
      </w:r>
      <w:r>
        <w:rPr>
          <w:rStyle w:val="VerbatimChar"/>
        </w:rPr>
        <w:t xml:space="preserve">molmim_70m_24_3</w:t>
      </w:r>
      <w:r>
        <w:t xml:space="preserve"> </w:t>
      </w:r>
      <w:r>
        <w:t xml:space="preserve">checkpoint, BioNeMo 1.5), used pretrained without energetic-domain fine-tuning as an out-of-domain reference. Molecules are produced by greedy–perturbate latent decoding (scaled radius 1.0, single seed), yielding 5 598 samples that are scored on the same surrogate. Its composite is on an uncalibrated scale and is not comparable to the other methods.</w:t>
      </w:r>
    </w:p>
    <w:p>
      <w:pPr>
        <w:pStyle w:val="MDPI31text"/>
        <w:ind w:left="2608"/>
      </w:pPr>
      <w:r>
        <w:rPr>
          <w:b/>
          <w:bCs/>
        </w:rPr>
        <w:t xml:space="preserve">REINVENT 4.</w:t>
      </w:r>
      <w:r>
        <w:t xml:space="preserve"> </w:t>
      </w:r>
      <w:r>
        <w:t xml:space="preserve">AstraZeneca REINVENT 4 (v4.4.12) with reinforcement-learning fine-tuning of its built-in SMILES-transformer prior under an N-fraction-oriented reward (N-rich substructure match, synthetic-accessibility penalty, molecular-weight floor, CHNO alerts), with no DGLD-corpus pretraining. The 40 000-target run uses 8 000 reinforcement-learning steps; a multi-seed variant uses staged learning (2 000 steps, DAP,</w:t>
      </w:r>
      <w:r>
        <w:t xml:space="preserve"> </w:t>
      </w:r>
      <m:oMath>
        <m:r>
          <m:t>σ</m:t>
        </m:r>
        <m:r>
          <m:rPr>
            <m:sty m:val="p"/>
          </m:rPr>
          <m:t>=</m:t>
        </m:r>
        <m:r>
          <m:t>128</m:t>
        </m:r>
      </m:oMath>
      <w:r>
        <w:t xml:space="preserve">, seeds 42/1/2). Because the reward does not target</w:t>
      </w:r>
      <w:r>
        <w:t xml:space="preserve"> </w:t>
      </w:r>
      <m:oMath>
        <m:r>
          <m:t>ρ</m:t>
        </m:r>
      </m:oMath>
      <w:r>
        <w:t xml:space="preserve">/</w:t>
      </w:r>
      <m:oMath>
        <m:r>
          <m:t>D</m:t>
        </m:r>
      </m:oMath>
      <w:r>
        <w:t xml:space="preserve">/</w:t>
      </w:r>
      <m:oMath>
        <m:r>
          <m:t>P</m:t>
        </m:r>
      </m:oMath>
      <w:r>
        <w:t xml:space="preserve"> </w:t>
      </w:r>
      <w:r>
        <w:t xml:space="preserve">directly, the top-100 by N-fraction are scored post hoc on the same surrogate.</w:t>
      </w:r>
    </w:p>
    <w:p>
      <w:pPr>
        <w:pStyle w:val="MDPI31text"/>
        <w:ind w:left="2608"/>
      </w:pPr>
      <w:r>
        <w:t xml:space="preserve">All four baselines are scored on the same Uni-Mol surrogate; only the SELFIES-GA best-novel candidate is carried to DFT. The reranker composite is generator-internal for SELFIES-GA, an N-fraction proxy for REINVENT 4, and uncalibrated for MolMIM, so composite values are compared within, not across, methods.</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Eleven lead cards (10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energetics-domain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among the baselines only SELFIES-GA's top candidate was DFT-audited (and collapsed); DGLD is the only method with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The unguided sampler independently recovered E1 (4-nitro-1,2,3,5-oxatriazole), a known oxatriazole (PubChem CID 57438703), reaching</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its recovery validates the sampler's scaffold reach rather than adding a novel lead, and its calibrated D is an upper bound pending thermal stability confirmation and a 1,2,3,5-oxatriazole-class DFT anchor (Section 3). L1 is a novel productive-quadrant lead, and the same sampling run independently recovered the known oxatriazole E1 from a distinct scaffold family, external evidence that DGLD's scaffold reach spans multiple chemotypes.</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1/11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8"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8"/>
    </w:p>
    <w:p>
      <w:pPr>
        <w:pStyle w:val="MDPI81references"/>
        <w:numPr>
          <w:ilvl w:val="0"/>
          <w:numId w:val="0"/>
        </w:numPr>
        <w:ind w:left="180" w:hanging="180"/>
      </w:pPr>
      <w:bookmarkStart w:id="13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9"/>
    </w:p>
    <w:p>
      <w:pPr>
        <w:pStyle w:val="MDPI81references"/>
        <w:numPr>
          <w:ilvl w:val="0"/>
          <w:numId w:val="0"/>
        </w:numPr>
        <w:ind w:left="180" w:hanging="180"/>
      </w:pPr>
      <w:bookmarkStart w:id="140" w:name="ref-zhou2023unimol"/>
      <w:r>
        <w:t xml:space="preserve">Zhou, G. et al. (2023). Uni-Mol: A Universal 3D Molecular Representation Learning Framework.</w:t>
      </w:r>
      <w:r>
        <w:t xml:space="preserve"> </w:t>
      </w:r>
      <w:r>
        <w:rPr>
          <w:i/>
          <w:iCs/>
        </w:rPr>
        <w:t xml:space="preserve">ICLR 2023</w:t>
      </w:r>
      <w:r>
        <w:t xml:space="preserve">.</w:t>
      </w:r>
      <w:bookmarkEnd w:id="140"/>
    </w:p>
    <w:p>
      <w:pPr>
        <w:pStyle w:val="MDPI81references"/>
        <w:numPr>
          <w:ilvl w:val="0"/>
          <w:numId w:val="0"/>
        </w:numPr>
        <w:ind w:left="180" w:hanging="180"/>
      </w:pPr>
      <w:bookmarkStart w:id="141" w:name="ref-ho2022cfg"/>
      <w:r>
        <w:t xml:space="preserve">Ho, J., &amp; Salimans, T. (2022). Classifier-Free Diffusion Guidance. arXiv:2207.12598.</w:t>
      </w:r>
      <w:bookmarkEnd w:id="141"/>
    </w:p>
    <w:p>
      <w:pPr>
        <w:pStyle w:val="MDPI81references"/>
        <w:numPr>
          <w:ilvl w:val="0"/>
          <w:numId w:val="0"/>
        </w:numPr>
        <w:ind w:left="180" w:hanging="180"/>
      </w:pP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MDPI81references"/>
        <w:numPr>
          <w:ilvl w:val="0"/>
          <w:numId w:val="0"/>
        </w:numPr>
        <w:ind w:left="180" w:hanging="180"/>
      </w:pP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MDPI81references"/>
        <w:numPr>
          <w:ilvl w:val="0"/>
          <w:numId w:val="0"/>
        </w:numPr>
        <w:ind w:left="180" w:hanging="180"/>
      </w:pPr>
      <w:bookmarkStart w:id="14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4"/>
    </w:p>
    <w:p>
      <w:pPr>
        <w:pStyle w:val="MDPI81references"/>
        <w:numPr>
          <w:ilvl w:val="0"/>
          <w:numId w:val="0"/>
        </w:numPr>
        <w:ind w:left="180" w:hanging="180"/>
      </w:pPr>
      <w:bookmarkStart w:id="14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5"/>
    </w:p>
    <w:p>
      <w:pPr>
        <w:pStyle w:val="MDPI81references"/>
        <w:numPr>
          <w:ilvl w:val="0"/>
          <w:numId w:val="0"/>
        </w:numPr>
        <w:ind w:left="180" w:hanging="180"/>
      </w:pPr>
      <w:bookmarkStart w:id="146"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6"/>
    </w:p>
    <w:p>
      <w:pPr>
        <w:pStyle w:val="MDPI81references"/>
        <w:numPr>
          <w:ilvl w:val="0"/>
          <w:numId w:val="0"/>
        </w:numPr>
        <w:ind w:left="180" w:hanging="180"/>
      </w:pPr>
      <w:bookmarkStart w:id="14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7"/>
    </w:p>
    <w:p>
      <w:pPr>
        <w:pStyle w:val="MDPI81references"/>
        <w:numPr>
          <w:ilvl w:val="0"/>
          <w:numId w:val="0"/>
        </w:numPr>
        <w:ind w:left="180" w:hanging="180"/>
      </w:pPr>
      <w:bookmarkStart w:id="148" w:name="ref-reidenbach2023molmim"/>
      <w:r>
        <w:t xml:space="preserve">Reidenbach, D., Livne, M., Ilango, R. K., Gill, M., &amp; Israeli, J. (2023). MolMIM: A Molecular Language Model for Property-Guided Molecule Generation via Mutual Information Machines. (MLDD Workshop, ICLR 2023; arXiv:2208.09016).</w:t>
      </w:r>
      <w:bookmarkEnd w:id="148"/>
    </w:p>
    <w:p>
      <w:pPr>
        <w:pStyle w:val="MDPI81references"/>
        <w:numPr>
          <w:ilvl w:val="0"/>
          <w:numId w:val="0"/>
        </w:numPr>
        <w:ind w:left="180" w:hanging="180"/>
      </w:pPr>
      <w:bookmarkStart w:id="149" w:name="ref-jaegle2021perceiver"/>
      <w:r>
        <w:t xml:space="preserve">Jaegle, A. et al. (2021). Perceiver: General Perception with Iterative Attention.</w:t>
      </w:r>
      <w:r>
        <w:t xml:space="preserve"> </w:t>
      </w:r>
      <w:r>
        <w:rPr>
          <w:i/>
          <w:iCs/>
        </w:rPr>
        <w:t xml:space="preserve">ICML 2021</w:t>
      </w:r>
      <w:r>
        <w:t xml:space="preserve">. arXiv:2103.03206.</w:t>
      </w:r>
      <w:bookmarkEnd w:id="149"/>
    </w:p>
    <w:p>
      <w:pPr>
        <w:pStyle w:val="MDPI81references"/>
        <w:numPr>
          <w:ilvl w:val="0"/>
          <w:numId w:val="0"/>
        </w:numPr>
        <w:ind w:left="180" w:hanging="180"/>
      </w:pPr>
      <w:bookmarkStart w:id="15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0"/>
    </w:p>
    <w:p>
      <w:pPr>
        <w:pStyle w:val="MDPI81references"/>
        <w:numPr>
          <w:ilvl w:val="0"/>
          <w:numId w:val="0"/>
        </w:numPr>
        <w:ind w:left="180" w:hanging="180"/>
      </w:pPr>
      <w:bookmarkStart w:id="15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1"/>
    </w:p>
    <w:p>
      <w:pPr>
        <w:pStyle w:val="MDPI81references"/>
        <w:numPr>
          <w:ilvl w:val="0"/>
          <w:numId w:val="0"/>
        </w:numPr>
        <w:ind w:left="180" w:hanging="180"/>
      </w:pPr>
      <w:bookmarkStart w:id="15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2"/>
    </w:p>
    <w:p>
      <w:pPr>
        <w:pStyle w:val="MDPI81references"/>
        <w:numPr>
          <w:ilvl w:val="0"/>
          <w:numId w:val="0"/>
        </w:numPr>
        <w:ind w:left="180" w:hanging="180"/>
      </w:pPr>
      <w:bookmarkStart w:id="15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3"/>
    </w:p>
    <w:p>
      <w:pPr>
        <w:pStyle w:val="MDPI81references"/>
        <w:numPr>
          <w:ilvl w:val="0"/>
          <w:numId w:val="0"/>
        </w:numPr>
        <w:ind w:left="180" w:hanging="180"/>
      </w:pPr>
      <w:bookmarkStart w:id="15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4"/>
    </w:p>
    <w:p>
      <w:pPr>
        <w:pStyle w:val="MDPI81references"/>
        <w:numPr>
          <w:ilvl w:val="0"/>
          <w:numId w:val="0"/>
        </w:numPr>
        <w:ind w:left="180" w:hanging="180"/>
      </w:pPr>
      <w:bookmarkStart w:id="15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5"/>
    </w:p>
    <w:p>
      <w:pPr>
        <w:pStyle w:val="MDPI81references"/>
        <w:numPr>
          <w:ilvl w:val="0"/>
          <w:numId w:val="0"/>
        </w:numPr>
        <w:ind w:left="180" w:hanging="180"/>
      </w:pPr>
      <w:bookmarkStart w:id="15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6"/>
    </w:p>
    <w:p>
      <w:pPr>
        <w:pStyle w:val="MDPI81references"/>
        <w:numPr>
          <w:ilvl w:val="0"/>
          <w:numId w:val="0"/>
        </w:numPr>
        <w:ind w:left="180" w:hanging="180"/>
      </w:pPr>
      <w:bookmarkStart w:id="157" w:name="ref-vignac2023digress"/>
      <w:r>
        <w:t xml:space="preserve">Vignac, C. et al. (2023). DiGress: Discrete Denoising Diffusion for Graph Generation.</w:t>
      </w:r>
      <w:r>
        <w:t xml:space="preserve"> </w:t>
      </w:r>
      <w:r>
        <w:rPr>
          <w:i/>
          <w:iCs/>
        </w:rPr>
        <w:t xml:space="preserve">ICLR 2023</w:t>
      </w:r>
      <w:r>
        <w:t xml:space="preserve">. arXiv:2209.14734.</w:t>
      </w:r>
      <w:bookmarkEnd w:id="157"/>
    </w:p>
    <w:p>
      <w:pPr>
        <w:pStyle w:val="MDPI81references"/>
        <w:numPr>
          <w:ilvl w:val="0"/>
          <w:numId w:val="0"/>
        </w:numPr>
        <w:ind w:left="180" w:hanging="180"/>
      </w:pPr>
      <w:bookmarkStart w:id="158" w:name="ref-ho2020ddpm"/>
      <w:r>
        <w:t xml:space="preserve">Ho, J., Jain, A., &amp; Abbeel, P. (2020). Denoising Diffusion Probabilistic Models.</w:t>
      </w:r>
      <w:r>
        <w:t xml:space="preserve"> </w:t>
      </w:r>
      <w:r>
        <w:rPr>
          <w:i/>
          <w:iCs/>
        </w:rPr>
        <w:t xml:space="preserve">NeurIPS 2020</w:t>
      </w:r>
      <w:r>
        <w:t xml:space="preserve">. arXiv:2006.11239.</w:t>
      </w:r>
      <w:bookmarkEnd w:id="158"/>
    </w:p>
    <w:p>
      <w:pPr>
        <w:pStyle w:val="MDPI81references"/>
        <w:numPr>
          <w:ilvl w:val="0"/>
          <w:numId w:val="0"/>
        </w:numPr>
        <w:ind w:left="180" w:hanging="180"/>
      </w:pPr>
      <w:bookmarkStart w:id="159"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9"/>
    </w:p>
    <w:p>
      <w:pPr>
        <w:pStyle w:val="MDPI81references"/>
        <w:numPr>
          <w:ilvl w:val="0"/>
          <w:numId w:val="0"/>
        </w:numPr>
        <w:ind w:left="180" w:hanging="180"/>
      </w:pPr>
      <w:bookmarkStart w:id="160"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0"/>
    </w:p>
    <w:p>
      <w:pPr>
        <w:pStyle w:val="MDPI81references"/>
        <w:numPr>
          <w:ilvl w:val="0"/>
          <w:numId w:val="0"/>
        </w:numPr>
        <w:ind w:left="180" w:hanging="180"/>
      </w:pPr>
      <w:bookmarkStart w:id="161"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3"/>
    </w:p>
    <w:p>
      <w:pPr>
        <w:pStyle w:val="MDPI81references"/>
        <w:numPr>
          <w:ilvl w:val="0"/>
          <w:numId w:val="0"/>
        </w:numPr>
        <w:ind w:left="180" w:hanging="180"/>
      </w:pPr>
      <w:bookmarkStart w:id="16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4"/>
    </w:p>
    <w:p>
      <w:pPr>
        <w:pStyle w:val="MDPI81references"/>
        <w:numPr>
          <w:ilvl w:val="0"/>
          <w:numId w:val="0"/>
        </w:numPr>
        <w:ind w:left="180" w:hanging="180"/>
      </w:pPr>
      <w:bookmarkStart w:id="16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5"/>
    </w:p>
    <w:p>
      <w:pPr>
        <w:pStyle w:val="MDPI81references"/>
        <w:numPr>
          <w:ilvl w:val="0"/>
          <w:numId w:val="0"/>
        </w:numPr>
        <w:ind w:left="180" w:hanging="180"/>
      </w:pPr>
      <w:bookmarkStart w:id="16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6"/>
    </w:p>
    <w:p>
      <w:pPr>
        <w:pStyle w:val="MDPI81references"/>
        <w:numPr>
          <w:ilvl w:val="0"/>
          <w:numId w:val="0"/>
        </w:numPr>
        <w:ind w:left="180" w:hanging="180"/>
      </w:pPr>
      <w:bookmarkStart w:id="167"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7"/>
    </w:p>
    <w:p>
      <w:pPr>
        <w:pStyle w:val="MDPI81references"/>
        <w:numPr>
          <w:ilvl w:val="0"/>
          <w:numId w:val="0"/>
        </w:numPr>
        <w:ind w:left="180" w:hanging="180"/>
      </w:pPr>
      <w:bookmarkStart w:id="16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8"/>
    </w:p>
    <w:p>
      <w:pPr>
        <w:pStyle w:val="MDPI81references"/>
        <w:numPr>
          <w:ilvl w:val="0"/>
          <w:numId w:val="0"/>
        </w:numPr>
        <w:ind w:left="180" w:hanging="180"/>
      </w:pPr>
      <w:bookmarkStart w:id="16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9"/>
    </w:p>
    <w:p>
      <w:pPr>
        <w:pStyle w:val="MDPI81references"/>
        <w:numPr>
          <w:ilvl w:val="0"/>
          <w:numId w:val="0"/>
        </w:numPr>
        <w:ind w:left="180" w:hanging="180"/>
      </w:pPr>
      <w:bookmarkStart w:id="17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0"/>
    </w:p>
    <w:p>
      <w:pPr>
        <w:pStyle w:val="MDPI81references"/>
        <w:numPr>
          <w:ilvl w:val="0"/>
          <w:numId w:val="0"/>
        </w:numPr>
        <w:ind w:left="180" w:hanging="180"/>
      </w:pPr>
      <w:bookmarkStart w:id="171"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1"/>
    </w:p>
    <w:p>
      <w:pPr>
        <w:pStyle w:val="MDPI81references"/>
        <w:numPr>
          <w:ilvl w:val="0"/>
          <w:numId w:val="0"/>
        </w:numPr>
        <w:ind w:left="180" w:hanging="180"/>
      </w:pPr>
      <w:bookmarkStart w:id="172"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2"/>
    </w:p>
    <w:p>
      <w:pPr>
        <w:pStyle w:val="MDPI81references"/>
        <w:numPr>
          <w:ilvl w:val="0"/>
          <w:numId w:val="0"/>
        </w:numPr>
        <w:ind w:left="180" w:hanging="180"/>
      </w:pPr>
      <w:bookmarkStart w:id="173"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3"/>
    </w:p>
    <w:p>
      <w:pPr>
        <w:pStyle w:val="MDPI81references"/>
        <w:numPr>
          <w:ilvl w:val="0"/>
          <w:numId w:val="0"/>
        </w:numPr>
        <w:ind w:left="180" w:hanging="180"/>
      </w:pPr>
      <w:bookmarkStart w:id="17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4"/>
    </w:p>
    <w:p>
      <w:pPr>
        <w:pStyle w:val="MDPI81references"/>
        <w:numPr>
          <w:ilvl w:val="0"/>
          <w:numId w:val="0"/>
        </w:numPr>
        <w:ind w:left="180" w:hanging="180"/>
      </w:pPr>
      <w:bookmarkStart w:id="17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5"/>
    </w:p>
    <w:p>
      <w:pPr>
        <w:pStyle w:val="MDPI81references"/>
        <w:numPr>
          <w:ilvl w:val="0"/>
          <w:numId w:val="0"/>
        </w:numPr>
        <w:ind w:left="180" w:hanging="180"/>
      </w:pPr>
      <w:bookmarkStart w:id="176"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6"/>
    </w:p>
    <w:p>
      <w:pPr>
        <w:pStyle w:val="MDPI81references"/>
        <w:numPr>
          <w:ilvl w:val="0"/>
          <w:numId w:val="0"/>
        </w:numPr>
        <w:ind w:left="180" w:hanging="180"/>
      </w:pPr>
      <w:bookmarkStart w:id="177"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7"/>
    </w:p>
    <w:p>
      <w:pPr>
        <w:pStyle w:val="MDPI81references"/>
        <w:numPr>
          <w:ilvl w:val="0"/>
          <w:numId w:val="0"/>
        </w:numPr>
        <w:ind w:left="180" w:hanging="180"/>
      </w:pPr>
      <w:bookmarkStart w:id="178" w:name="ref-bondi1964vdw"/>
      <w:r>
        <w:t xml:space="preserve">Bondi, A. (1964). van der Waals Volumes and Radii.</w:t>
      </w:r>
      <w:r>
        <w:t xml:space="preserve"> </w:t>
      </w:r>
      <w:r>
        <w:rPr>
          <w:i/>
          <w:iCs/>
        </w:rPr>
        <w:t xml:space="preserve">J. Phys. Chem. 68(3)</w:t>
      </w:r>
      <w:r>
        <w:t xml:space="preserve">:441–451. doi:10.1021/j100785a001.</w:t>
      </w:r>
      <w:bookmarkEnd w:id="178"/>
    </w:p>
    <w:p>
      <w:pPr>
        <w:pStyle w:val="MDPI81references"/>
        <w:numPr>
          <w:ilvl w:val="0"/>
          <w:numId w:val="0"/>
        </w:numPr>
        <w:ind w:left="180" w:hanging="180"/>
      </w:pPr>
      <w:bookmarkStart w:id="17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9"/>
    </w:p>
    <w:p>
      <w:pPr>
        <w:pStyle w:val="MDPI81references"/>
        <w:numPr>
          <w:ilvl w:val="0"/>
          <w:numId w:val="0"/>
        </w:numPr>
        <w:ind w:left="180" w:hanging="180"/>
      </w:pPr>
      <w:bookmarkStart w:id="18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0"/>
    </w:p>
    <w:p>
      <w:pPr>
        <w:pStyle w:val="MDPI81references"/>
        <w:numPr>
          <w:ilvl w:val="0"/>
          <w:numId w:val="0"/>
        </w:numPr>
        <w:ind w:left="180" w:hanging="180"/>
      </w:pPr>
      <w:bookmarkStart w:id="181" w:name="ref-klapotke2017nitrogen"/>
      <w:r>
        <w:t xml:space="preserve">Klapötke, T. M.</w:t>
      </w:r>
      <w:r>
        <w:t xml:space="preserve"> </w:t>
      </w:r>
      <w:r>
        <w:rPr>
          <w:i/>
          <w:iCs/>
        </w:rPr>
        <w:t xml:space="preserve">Chemistry of High-Energy Materials</w:t>
      </w:r>
      <w:r>
        <w:t xml:space="preserve">, 5th ed. (de Gruyter, 2019). doi:10.1515/9783110624571.</w:t>
      </w:r>
      <w:bookmarkEnd w:id="181"/>
    </w:p>
    <w:p>
      <w:pPr>
        <w:pStyle w:val="MDPI81references"/>
        <w:numPr>
          <w:ilvl w:val="0"/>
          <w:numId w:val="0"/>
        </w:numPr>
        <w:ind w:left="180" w:hanging="180"/>
      </w:pPr>
      <w:bookmarkStart w:id="18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2"/>
    </w:p>
    <w:p>
      <w:pPr>
        <w:pStyle w:val="MDPI81references"/>
        <w:numPr>
          <w:ilvl w:val="0"/>
          <w:numId w:val="0"/>
        </w:numPr>
        <w:ind w:left="180" w:hanging="180"/>
      </w:pPr>
      <w:bookmarkStart w:id="183"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3"/>
    </w:p>
    <w:p>
      <w:pPr>
        <w:pStyle w:val="MDPI81references"/>
        <w:numPr>
          <w:ilvl w:val="0"/>
          <w:numId w:val="0"/>
        </w:numPr>
        <w:ind w:left="180" w:hanging="180"/>
      </w:pPr>
      <w:bookmarkStart w:id="184"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4"/>
    </w:p>
    <w:p>
      <w:pPr>
        <w:pStyle w:val="MDPI81references"/>
        <w:numPr>
          <w:ilvl w:val="0"/>
          <w:numId w:val="0"/>
        </w:numPr>
        <w:ind w:left="180" w:hanging="180"/>
      </w:pPr>
      <w:bookmarkStart w:id="185"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5"/>
    </w:p>
    <w:p>
      <w:pPr>
        <w:pStyle w:val="MDPI81references"/>
        <w:numPr>
          <w:ilvl w:val="0"/>
          <w:numId w:val="0"/>
        </w:numPr>
        <w:ind w:left="180" w:hanging="180"/>
      </w:pPr>
      <w:bookmarkStart w:id="186"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6"/>
    </w:p>
    <w:p>
      <w:pPr>
        <w:pStyle w:val="MDPI81references"/>
        <w:numPr>
          <w:ilvl w:val="0"/>
          <w:numId w:val="0"/>
        </w:numPr>
        <w:ind w:left="180" w:hanging="180"/>
      </w:pPr>
      <w:bookmarkStart w:id="18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7"/>
    </w:p>
    <w:p>
      <w:pPr>
        <w:pStyle w:val="MDPI81references"/>
        <w:numPr>
          <w:ilvl w:val="0"/>
          <w:numId w:val="0"/>
        </w:numPr>
        <w:ind w:left="180" w:hanging="180"/>
      </w:pPr>
      <w:bookmarkStart w:id="188"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8"/>
    </w:p>
    <w:p>
      <w:pPr>
        <w:pStyle w:val="MDPI81references"/>
        <w:numPr>
          <w:ilvl w:val="0"/>
          <w:numId w:val="0"/>
        </w:numPr>
        <w:ind w:left="180" w:hanging="180"/>
      </w:pPr>
      <w:bookmarkStart w:id="189"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9"/>
    </w:p>
    <w:p>
      <w:pPr>
        <w:pStyle w:val="MDPI81references"/>
        <w:numPr>
          <w:ilvl w:val="0"/>
          <w:numId w:val="0"/>
        </w:numPr>
        <w:ind w:left="180" w:hanging="180"/>
      </w:pPr>
      <w:bookmarkStart w:id="190" w:name="ref-reymond2015gdb"/>
      <w:r>
        <w:t xml:space="preserve">Reymond, J.-L. (2015). The chemical space project.</w:t>
      </w:r>
      <w:r>
        <w:t xml:space="preserve"> </w:t>
      </w:r>
      <w:r>
        <w:rPr>
          <w:i/>
          <w:iCs/>
        </w:rPr>
        <w:t xml:space="preserve">Acc. Chem. Res. 48(3)</w:t>
      </w:r>
      <w:r>
        <w:t xml:space="preserve">:722–730.</w:t>
      </w:r>
      <w:bookmarkEnd w:id="190"/>
    </w:p>
    <w:p>
      <w:pPr>
        <w:pStyle w:val="MDPI81references"/>
        <w:numPr>
          <w:ilvl w:val="0"/>
          <w:numId w:val="0"/>
        </w:numPr>
        <w:ind w:left="180" w:hanging="180"/>
      </w:pPr>
      <w:bookmarkStart w:id="191" w:name="ref-sterling2015zinc"/>
      <w:r>
        <w:t xml:space="preserve">Sterling, T., &amp; Irwin, J. J. (2015). ZINC 15: Ligand Discovery for Everyone.</w:t>
      </w:r>
      <w:r>
        <w:t xml:space="preserve"> </w:t>
      </w:r>
      <w:r>
        <w:rPr>
          <w:i/>
          <w:iCs/>
        </w:rPr>
        <w:t xml:space="preserve">J. Chem. Inf. Model. 55(11)</w:t>
      </w:r>
      <w:r>
        <w:t xml:space="preserve">:2324–2337.</w:t>
      </w:r>
      <w:bookmarkEnd w:id="191"/>
    </w:p>
    <w:p>
      <w:pPr>
        <w:pStyle w:val="MDPI81references"/>
        <w:numPr>
          <w:ilvl w:val="0"/>
          <w:numId w:val="0"/>
        </w:numPr>
        <w:ind w:left="180" w:hanging="180"/>
      </w:pP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MDPI81references"/>
        <w:numPr>
          <w:ilvl w:val="0"/>
          <w:numId w:val="0"/>
        </w:numPr>
        <w:ind w:left="180" w:hanging="180"/>
      </w:pP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MDPI81references"/>
        <w:numPr>
          <w:ilvl w:val="0"/>
          <w:numId w:val="0"/>
        </w:numPr>
        <w:ind w:left="180" w:hanging="180"/>
      </w:pP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MDPI81references"/>
        <w:numPr>
          <w:ilvl w:val="0"/>
          <w:numId w:val="0"/>
        </w:numPr>
        <w:ind w:left="180" w:hanging="180"/>
      </w:pP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MDPI81references"/>
        <w:numPr>
          <w:ilvl w:val="0"/>
          <w:numId w:val="0"/>
        </w:numPr>
        <w:ind w:left="180" w:hanging="180"/>
      </w:pP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MDPI81references"/>
        <w:numPr>
          <w:ilvl w:val="0"/>
          <w:numId w:val="0"/>
        </w:numPr>
        <w:ind w:left="180" w:hanging="180"/>
      </w:pP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MDPI81references"/>
        <w:numPr>
          <w:ilvl w:val="0"/>
          <w:numId w:val="0"/>
        </w:numPr>
        <w:ind w:left="180" w:hanging="180"/>
      </w:pP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MDPI81references"/>
        <w:numPr>
          <w:ilvl w:val="0"/>
          <w:numId w:val="0"/>
        </w:numPr>
        <w:ind w:left="180" w:hanging="180"/>
      </w:pPr>
      <w:bookmarkStart w:id="19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9"/>
    </w:p>
    <w:p>
      <w:pPr>
        <w:pStyle w:val="MDPI81references"/>
        <w:numPr>
          <w:ilvl w:val="0"/>
          <w:numId w:val="0"/>
        </w:numPr>
        <w:ind w:left="180" w:hanging="180"/>
      </w:pPr>
      <w:bookmarkStart w:id="20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0"/>
    </w:p>
    <w:p>
      <w:pPr>
        <w:pStyle w:val="MDPI81references"/>
        <w:numPr>
          <w:ilvl w:val="0"/>
          <w:numId w:val="0"/>
        </w:numPr>
        <w:ind w:left="180" w:hanging="180"/>
      </w:pPr>
      <w:bookmarkStart w:id="20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1"/>
    </w:p>
    <w:p>
      <w:pPr>
        <w:pStyle w:val="MDPI81references"/>
        <w:numPr>
          <w:ilvl w:val="0"/>
          <w:numId w:val="0"/>
        </w:numPr>
        <w:ind w:left="180" w:hanging="180"/>
      </w:pPr>
      <w:bookmarkStart w:id="202" w:name="ref-kim2023pubchem"/>
      <w:r>
        <w:t xml:space="preserve">Kim, S. et al. (2023). PubChem 2023 Update.</w:t>
      </w:r>
      <w:r>
        <w:t xml:space="preserve"> </w:t>
      </w:r>
      <w:r>
        <w:rPr>
          <w:i/>
          <w:iCs/>
        </w:rPr>
        <w:t xml:space="preserve">Nucleic Acids Res. 51(D1)</w:t>
      </w:r>
      <w:r>
        <w:t xml:space="preserve">:D1373–D1380.</w:t>
      </w:r>
      <w:bookmarkEnd w:id="202"/>
    </w:p>
    <w:p>
      <w:pPr>
        <w:pStyle w:val="MDPI81references"/>
        <w:numPr>
          <w:ilvl w:val="0"/>
          <w:numId w:val="0"/>
        </w:numPr>
        <w:ind w:left="180" w:hanging="180"/>
      </w:pPr>
      <w:bookmarkStart w:id="20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6"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6"/>
    </w:p>
    <w:p>
      <w:pPr>
        <w:pStyle w:val="MDPI81references"/>
        <w:numPr>
          <w:ilvl w:val="0"/>
          <w:numId w:val="0"/>
        </w:numPr>
        <w:ind w:left="180" w:hanging="180"/>
      </w:pPr>
      <w:bookmarkStart w:id="207"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7"/>
    </w:p>
    <w:p>
      <w:pPr>
        <w:pStyle w:val="MDPI81references"/>
        <w:numPr>
          <w:ilvl w:val="0"/>
          <w:numId w:val="0"/>
        </w:numPr>
        <w:ind w:left="180" w:hanging="180"/>
      </w:pPr>
      <w:bookmarkStart w:id="209"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9"/>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extended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4">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5">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doi.org/10.5281/zenodo.19821952" TargetMode="External"/><Relationship Id="rId45"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