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No new HMX-class energetic material has been disclosed in fifteen years. Generative-ML approaches face a sparse-label bottleneck: of about 66,000 labelled CHNO molecules, only about 3,000 carry experimental or DFT-quality measurements, so naive training either memorises the high-performance tail or extrapolates without calibration. We introduce</w:t>
      </w:r>
      <w:r>
        <w:t xml:space="preserve"> </w:t>
      </w:r>
      <w:r>
        <w:rPr>
          <w:b/>
          <w:bCs/>
        </w:rPr>
        <w:t xml:space="preserve">domain-gated latent diffusion (DGLD)</w:t>
      </w:r>
      <w:r>
        <w:t xml:space="preserve">, a recipe combining a four-tier label-trust gate at training time, a multi-task score model with selectable per-head sample-time steering, and a chemistry validation funnel ending in first-principles DFT audit. DGLD yields twelve DFT-confirmed novel leads. The headline compound, 3,4,5-trinitro-1,2-isoxazole, reaches calibrated density 2.09 g/cm³ and Kamlet–Jacobs detonation velocity 8.25 km/s while remaining structurally dissimilar from the entire labelled corpus (Tanimoto 0.27). Across SMILES-LSTM, SELFIES-GA, REINVENT 4 and MolMIM baselines, DGLD is the only method to produce molecules simultaneously novel and on-target under DFT validation.</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Tanimoto 0.27 to all 65,980 training molecules. Across four strong baselines (SMILES-LSTM, MolMIM, SELFIES-GA, REINVENT 4)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molecules.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all three failure modes simultaneously.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X9e41b1bddb4903216f58fd6644c98f36d3372e2"/>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joint region where a generated molecule is simultaneously novel relative to the labelled training corpus (max-Tanimoto</w:t>
      </w:r>
      <w:r>
        <w:t xml:space="preserve"> </w:t>
      </w:r>
      <m:oMath>
        <m:r>
          <m:rPr>
            <m:sty m:val="p"/>
          </m:rPr>
          <m:t>≤</m:t>
        </m:r>
      </m:oMath>
      <w:r>
        <w:t xml:space="preserve"> </w:t>
      </w:r>
      <w:r>
        <w:t xml:space="preserve">0.55 against every row) and competitive with the HMX/CL-20 reference class on predicted detonation performance (</w:t>
      </w:r>
      <m:oMath>
        <m:r>
          <m:t>D</m:t>
        </m:r>
        <m:r>
          <m:rPr>
            <m:sty m:val="p"/>
          </m:rPr>
          <m:t>≥</m:t>
        </m:r>
        <m:r>
          <m:t>9.0</m:t>
        </m:r>
      </m:oMath>
      <w:r>
        <w:t xml:space="preserve"> </w:t>
      </w:r>
      <w:r>
        <w:t xml:space="preserve">km/s). Figure 1 shows the top-1 candidate from each method on three property axes (</w:t>
      </w:r>
      <m:oMath>
        <m:r>
          <m:t>D</m:t>
        </m:r>
      </m:oMath>
      <w:r>
        <w:t xml:space="preserve">,</w:t>
      </w:r>
      <w:r>
        <w:t xml:space="preserve"> </w:t>
      </w:r>
      <m:oMath>
        <m:r>
          <m:t>ρ</m:t>
        </m:r>
      </m:oMath>
      <w:r>
        <w:t xml:space="preserve">,</w:t>
      </w:r>
      <w:r>
        <w:t xml:space="preserve"> </w:t>
      </w:r>
      <m:oMath>
        <m:r>
          <m:t>P</m:t>
        </m:r>
      </m:oMath>
      <w:r>
        <w:t xml:space="preserve">) versus novelty. DGLD (Hz-C2 condition; viability + sensitivity + hazard guidance, three random seeds) lands in the productive quadrant on every axis. SMILES-LSTM is on the Tanimoto-1.0 axis (exact rediscovery). MolMIM 70 M is novel but at</w:t>
      </w:r>
      <w:r>
        <w:t xml:space="preserve"> </w:t>
      </w:r>
      <m:oMath>
        <m:r>
          <m:t>D</m:t>
        </m:r>
        <m:r>
          <m:rPr>
            <m:sty m:val="p"/>
          </m:rPr>
          <m:t>=</m:t>
        </m:r>
        <m:r>
          <m:t>7.70</m:t>
        </m:r>
      </m:oMath>
      <w:r>
        <w:t xml:space="preserve"> </w:t>
      </w:r>
      <w:r>
        <w:t xml:space="preserve">km/s, outside the HMX band. REINVENT 4 reaches</w:t>
      </w:r>
      <w:r>
        <w:t xml:space="preserve"> </w:t>
      </w:r>
      <m:oMath>
        <m:r>
          <m:t>D</m:t>
        </m:r>
        <m:r>
          <m:rPr>
            <m:sty m:val="p"/>
          </m:rPr>
          <m:t>=</m:t>
        </m:r>
        <m:r>
          <m:t>9.02</m:t>
        </m:r>
      </m:oMath>
      <w:r>
        <w:t xml:space="preserve"> </w:t>
      </w:r>
      <w:r>
        <w:t xml:space="preserve">km/s at novelty 0.43, just below the threshold. SELFIES-GA shows a surrogate-to-DFT collapse on the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964266"/>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9642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X54027e9ae9e27c7a2a3906e39ca930eff6827d8"/>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M6) to a pool of 40,000 candidates per denoiser yields a Pareto front of 34 candidates after the SMARTS gate and Pareto reranker. Of these, 100 (top-100 by composite) advance to GFN2-xTB triage at the 1.5 eV HOMO–LUMO gap gate;</w:t>
      </w:r>
      <w:r>
        <w:t xml:space="preserve"> </w:t>
      </w:r>
      <w:r>
        <w:rPr>
          <w:b/>
          <w:bCs/>
        </w:rPr>
        <w:t xml:space="preserve">85 of 100 survive</w:t>
      </w:r>
      <w:r>
        <w:t xml:space="preserve">.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 the highest density of the set, in the HMX-class regime by anchor-relative ranking, and absent from PubChem.</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leads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max-Tanimoto-2 to the labelled master,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O=N(=O)c1onc(N(=O)=O)c1N(=O)=O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(open-chain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(tetrazoline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(furazan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(triazole 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(small-ring polynitro)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(high-N heterocycle)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(extension lead)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9.00</m:t>
        </m:r>
      </m:oMath>
      <w:r>
        <w:t xml:space="preserve"> </w:t>
      </w:r>
      <w:r>
        <w:t xml:space="preserve">km/s — both higher than L1, from a chemotype family disjoint from L1's. The 1,2,3,5-oxatriazole ring system has known thermal and Lewis-acid ring-opening pathways</w:t>
      </w:r>
      <w:hyperlink w:anchor="ref-sheremetev2007">
        <w:r>
          <w:rPr>
            <w:rStyle w:val="Hyperlink"/>
          </w:rPr>
          <w:t xml:space="preserve">6</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calibrated-dft-validation"/>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the PETN-like regime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667966"/>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66796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(DFT-K-J calibrated minus 3D-CNN)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consistent with prior literature; L1 sits in the PETN-reliable band.</w:t>
      </w:r>
    </w:p>
    <w:bookmarkEnd w:id="22"/>
    <w:bookmarkStart w:id="26" w:name="novelty-and-synthesisabili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 confirm the design intent: SMILES-LSTM has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component-contribu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621267"/>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621267"/>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per metric across six guided conditions (Hz-C1…Hz-C3, SA-C1…SA-C3). Error bars are propagated standard errors over three seeds.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(viability + sensitivity + hazard)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most of the systematic packing-factor error and reduces the residual to</w:t>
      </w:r>
      <w:r>
        <w:t xml:space="preserve"> </w:t>
      </w:r>
      <m:oMath>
        <m:r>
          <m:rPr>
            <m:sty m:val="p"/>
          </m:rPr>
          <m:t>±</m:t>
        </m:r>
        <m:r>
          <m:t>0.078</m:t>
        </m:r>
      </m:oMath>
      <w:r>
        <w:t xml:space="preserve"> </w:t>
      </w:r>
      <w:r>
        <w:t xml:space="preserve">g/cm</w:t>
      </w:r>
      <w:r>
        <w:rPr>
          <w:vertAlign w:val="superscript"/>
        </w:rPr>
        <w:t xml:space="preserve">3</w:t>
      </w:r>
      <w:r>
        <w:t xml:space="preserve">, but polymorph screening is absent — high-nitrogen heterocycles frequently exhibit multiple crystal forms with different densities and sensitivity profiles. Crystal structure prediction 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The tier-gating recipe generalises beyond energetic materials. Wherever a generative-ML problem has labels stratified by experimental confidence — pharmaceutical bioactivity (assay versus literature versus surrogate), materials property prediction (measured versus computed versus inferred), or any setting where data heterogeneity is a structural feature rather than a defect to be cleaned away — the four-tier recipe of routing trusted labels to the conditional gradient and untrusted labels to the unconditional prior generalises directly. Only the validation funnel changes per application: in our case,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but the same four-stage scaffold of cheap-to-expensive triage applies wherever a candidate-list paper terminates in first-principles audit. Code, checkpoints and the 918 mined hard negatives are released openly to enable both reproduction and extension.</w:t>
      </w:r>
    </w:p>
    <w:bookmarkEnd w:id="32"/>
    <w:bookmarkStart w:id="84" w:name="sec-ref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sun2020pyscf"/>
      <w:r>
        <w:t xml:space="preserve">Sun, Q.</w:t>
      </w:r>
      <w:r>
        <w:t xml:space="preserve"> </w:t>
      </w:r>
      <w:r>
        <w:rPr>
          <w:i/>
          <w:iCs/>
        </w:rPr>
        <w:t xml:space="preserve">et al.</w:t>
      </w:r>
      <w:r>
        <w:t xml:space="preserve"> </w:t>
      </w:r>
      <w:r>
        <w:t xml:space="preserve">Recent developments in the PySCF program package.</w:t>
      </w:r>
      <w:r>
        <w:t xml:space="preserve"> </w:t>
      </w:r>
      <w:r>
        <w:rPr>
          <w:i/>
          <w:iCs/>
        </w:rPr>
        <w:t xml:space="preserve">J. Chem. Phys.</w:t>
      </w:r>
      <w:r>
        <w:t xml:space="preserve"> </w:t>
      </w:r>
      <w:r>
        <w:rPr>
          <w:b/>
          <w:bCs/>
        </w:rPr>
        <w:t xml:space="preserve">153</w:t>
      </w:r>
      <w:r>
        <w:t xml:space="preserve">, 024109 (2020).</w:t>
      </w:r>
      <w:bookmarkEnd w:id="48"/>
    </w:p>
    <w:p>
      <w:pPr>
        <w:pStyle w:val="ReferenceEntry"/>
        <w:numPr>
          <w:ilvl w:val="0"/>
          <w:numId w:val="1001"/>
        </w:numPr>
        <w:jc w:val="left"/>
        <w:keepNext w:val="0"/>
        <w:keepLines w:val="0"/>
        <w:widowControl w:val="1"/>
      </w:pPr>
      <w:bookmarkStart w:id="49"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9"/>
    </w:p>
    <w:p>
      <w:pPr>
        <w:pStyle w:val="ReferenceEntry"/>
        <w:numPr>
          <w:ilvl w:val="0"/>
          <w:numId w:val="1001"/>
        </w:numPr>
        <w:jc w:val="left"/>
        <w:keepNext w:val="0"/>
        <w:keepLines w:val="0"/>
        <w:widowControl w:val="1"/>
      </w:pPr>
      <w:bookmarkStart w:id="50"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50"/>
    </w:p>
    <w:p>
      <w:pPr>
        <w:pStyle w:val="ReferenceEntry"/>
        <w:numPr>
          <w:ilvl w:val="0"/>
          <w:numId w:val="1001"/>
        </w:numPr>
        <w:jc w:val="left"/>
        <w:keepNext w:val="0"/>
        <w:keepLines w:val="0"/>
        <w:widowControl w:val="1"/>
      </w:pPr>
      <w:bookmarkStart w:id="51"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1"/>
    </w:p>
    <w:p>
      <w:pPr>
        <w:pStyle w:val="ReferenceEntry"/>
        <w:numPr>
          <w:ilvl w:val="0"/>
          <w:numId w:val="1001"/>
        </w:numPr>
        <w:jc w:val="left"/>
        <w:keepNext w:val="0"/>
        <w:keepLines w:val="0"/>
        <w:widowControl w:val="1"/>
      </w:pPr>
      <w:bookmarkStart w:id="52"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2"/>
    </w:p>
    <w:p>
      <w:pPr>
        <w:pStyle w:val="ReferenceEntry"/>
        <w:numPr>
          <w:ilvl w:val="0"/>
          <w:numId w:val="1001"/>
        </w:numPr>
        <w:jc w:val="left"/>
        <w:keepNext w:val="0"/>
        <w:keepLines w:val="0"/>
        <w:widowControl w:val="1"/>
      </w:pPr>
      <w:bookmarkStart w:id="53"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3"/>
    </w:p>
    <w:p>
      <w:pPr>
        <w:pStyle w:val="ReferenceEntry"/>
        <w:numPr>
          <w:ilvl w:val="0"/>
          <w:numId w:val="1001"/>
        </w:numPr>
        <w:jc w:val="left"/>
        <w:keepNext w:val="0"/>
        <w:keepLines w:val="0"/>
        <w:widowControl w:val="1"/>
      </w:pPr>
      <w:bookmarkStart w:id="54"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4"/>
    </w:p>
    <w:p>
      <w:pPr>
        <w:pStyle w:val="ReferenceEntry"/>
        <w:numPr>
          <w:ilvl w:val="0"/>
          <w:numId w:val="1001"/>
        </w:numPr>
        <w:jc w:val="left"/>
        <w:keepNext w:val="0"/>
        <w:keepLines w:val="0"/>
        <w:widowControl w:val="1"/>
      </w:pPr>
      <w:bookmarkStart w:id="55"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5"/>
    </w:p>
    <w:p>
      <w:pPr>
        <w:pStyle w:val="ReferenceEntry"/>
        <w:numPr>
          <w:ilvl w:val="0"/>
          <w:numId w:val="1001"/>
        </w:numPr>
        <w:jc w:val="left"/>
        <w:keepNext w:val="0"/>
        <w:keepLines w:val="0"/>
        <w:widowControl w:val="1"/>
      </w:pPr>
      <w:bookmarkStart w:id="56"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6"/>
    </w:p>
    <w:p>
      <w:pPr>
        <w:pStyle w:val="ReferenceEntry"/>
        <w:numPr>
          <w:ilvl w:val="0"/>
          <w:numId w:val="1001"/>
        </w:numPr>
        <w:jc w:val="left"/>
        <w:keepNext w:val="0"/>
        <w:keepLines w:val="0"/>
        <w:widowControl w:val="1"/>
      </w:pPr>
      <w:bookmarkStart w:id="57"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7"/>
    </w:p>
    <w:p>
      <w:pPr>
        <w:pStyle w:val="ReferenceEntry"/>
        <w:numPr>
          <w:ilvl w:val="0"/>
          <w:numId w:val="1001"/>
        </w:numPr>
        <w:jc w:val="left"/>
        <w:keepNext w:val="0"/>
        <w:keepLines w:val="0"/>
        <w:widowControl w:val="1"/>
      </w:pPr>
      <w:bookmarkStart w:id="58"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8"/>
    </w:p>
    <w:p>
      <w:pPr>
        <w:pStyle w:val="ReferenceEntry"/>
        <w:numPr>
          <w:ilvl w:val="0"/>
          <w:numId w:val="1001"/>
        </w:numPr>
        <w:jc w:val="left"/>
        <w:keepNext w:val="0"/>
        <w:keepLines w:val="0"/>
        <w:widowControl w:val="1"/>
      </w:pPr>
      <w:bookmarkStart w:id="59"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9"/>
    </w:p>
    <w:p>
      <w:pPr>
        <w:pStyle w:val="ReferenceEntry"/>
        <w:numPr>
          <w:ilvl w:val="0"/>
          <w:numId w:val="1001"/>
        </w:numPr>
        <w:jc w:val="left"/>
        <w:keepNext w:val="0"/>
        <w:keepLines w:val="0"/>
        <w:widowControl w:val="1"/>
      </w:pPr>
      <w:bookmarkStart w:id="60"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60"/>
    </w:p>
    <w:p>
      <w:pPr>
        <w:pStyle w:val="ReferenceEntry"/>
        <w:numPr>
          <w:ilvl w:val="0"/>
          <w:numId w:val="1001"/>
        </w:numPr>
        <w:jc w:val="left"/>
        <w:keepNext w:val="0"/>
        <w:keepLines w:val="0"/>
        <w:widowControl w:val="1"/>
      </w:pPr>
      <w:bookmarkStart w:id="61"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1"/>
    </w:p>
    <w:p>
      <w:pPr>
        <w:pStyle w:val="ReferenceEntry"/>
        <w:numPr>
          <w:ilvl w:val="0"/>
          <w:numId w:val="1001"/>
        </w:numPr>
        <w:jc w:val="left"/>
        <w:keepNext w:val="0"/>
        <w:keepLines w:val="0"/>
        <w:widowControl w:val="1"/>
      </w:pPr>
      <w:bookmarkStart w:id="62"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2"/>
    </w:p>
    <w:p>
      <w:pPr>
        <w:pStyle w:val="ReferenceEntry"/>
        <w:numPr>
          <w:ilvl w:val="0"/>
          <w:numId w:val="1001"/>
        </w:numPr>
        <w:jc w:val="left"/>
        <w:keepNext w:val="0"/>
        <w:keepLines w:val="0"/>
        <w:widowControl w:val="1"/>
      </w:pPr>
      <w:bookmarkStart w:id="63"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3"/>
    </w:p>
    <w:p>
      <w:pPr>
        <w:pStyle w:val="ReferenceEntry"/>
        <w:numPr>
          <w:ilvl w:val="0"/>
          <w:numId w:val="1001"/>
        </w:numPr>
        <w:jc w:val="left"/>
        <w:keepNext w:val="0"/>
        <w:keepLines w:val="0"/>
        <w:widowControl w:val="1"/>
      </w:pPr>
      <w:bookmarkStart w:id="64"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4"/>
    </w:p>
    <w:p>
      <w:pPr>
        <w:pStyle w:val="ReferenceEntry"/>
        <w:numPr>
          <w:ilvl w:val="0"/>
          <w:numId w:val="1001"/>
        </w:numPr>
        <w:jc w:val="left"/>
        <w:keepNext w:val="0"/>
        <w:keepLines w:val="0"/>
        <w:widowControl w:val="1"/>
      </w:pPr>
      <w:bookmarkStart w:id="65"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5"/>
    </w:p>
    <w:p>
      <w:pPr>
        <w:pStyle w:val="ReferenceEntry"/>
        <w:numPr>
          <w:ilvl w:val="0"/>
          <w:numId w:val="1001"/>
        </w:numPr>
        <w:jc w:val="left"/>
        <w:keepNext w:val="0"/>
        <w:keepLines w:val="0"/>
        <w:widowControl w:val="1"/>
      </w:pPr>
      <w:bookmarkStart w:id="66"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6"/>
    </w:p>
    <w:p>
      <w:pPr>
        <w:pStyle w:val="ReferenceEntry"/>
        <w:numPr>
          <w:ilvl w:val="0"/>
          <w:numId w:val="1001"/>
        </w:numPr>
        <w:jc w:val="left"/>
        <w:keepNext w:val="0"/>
        <w:keepLines w:val="0"/>
        <w:widowControl w:val="1"/>
      </w:pPr>
      <w:bookmarkStart w:id="67"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7"/>
    </w:p>
    <w:p>
      <w:pPr>
        <w:pStyle w:val="ReferenceEntry"/>
        <w:numPr>
          <w:ilvl w:val="0"/>
          <w:numId w:val="1001"/>
        </w:numPr>
        <w:jc w:val="left"/>
        <w:keepNext w:val="0"/>
        <w:keepLines w:val="0"/>
        <w:widowControl w:val="1"/>
      </w:pPr>
      <w:bookmarkStart w:id="68" w:name="ref-dobratz1981"/>
      <w:r>
        <w:t xml:space="preserve">Dobratz, B. M.</w:t>
      </w:r>
      <w:r>
        <w:t xml:space="preserve"> </w:t>
      </w:r>
      <w:r>
        <w:rPr>
          <w:i/>
          <w:iCs/>
        </w:rPr>
        <w:t xml:space="preserve">LLNL Explosives Handbook</w:t>
      </w:r>
      <w:r>
        <w:t xml:space="preserve">. UCRL-52997, Lawrence Livermore National Laboratory (1981).</w:t>
      </w:r>
      <w:bookmarkEnd w:id="68"/>
    </w:p>
    <w:p>
      <w:pPr>
        <w:pStyle w:val="ReferenceEntry"/>
        <w:numPr>
          <w:ilvl w:val="0"/>
          <w:numId w:val="1001"/>
        </w:numPr>
        <w:jc w:val="left"/>
        <w:keepNext w:val="0"/>
        <w:keepLines w:val="0"/>
        <w:widowControl w:val="1"/>
      </w:pPr>
      <w:bookmarkStart w:id="69" w:name="ref-suceska2007explo5"/>
      <w:r>
        <w:t xml:space="preserve">Suceška, M. EXPLO5 user's guide v6. Brodarski Institute, Zagreb (2014).</w:t>
      </w:r>
      <w:bookmarkEnd w:id="69"/>
    </w:p>
    <w:p>
      <w:pPr>
        <w:pStyle w:val="ReferenceEntry"/>
        <w:numPr>
          <w:ilvl w:val="0"/>
          <w:numId w:val="1001"/>
        </w:numPr>
        <w:jc w:val="left"/>
        <w:keepNext w:val="0"/>
        <w:keepLines w:val="0"/>
        <w:widowControl w:val="1"/>
      </w:pPr>
      <w:bookmarkStart w:id="70" w:name="ref-fried1996cheetah"/>
      <w:r>
        <w:t xml:space="preserve">Fried, L. E., Howard, W. M. &amp; Souers, P. C. Cheetah 2.0 user's manual. UCRL-MA-117541, Lawrence Livermore National Laboratory (1996).</w:t>
      </w:r>
      <w:bookmarkEnd w:id="70"/>
    </w:p>
    <w:p>
      <w:pPr>
        <w:pStyle w:val="ReferenceEntry"/>
        <w:numPr>
          <w:ilvl w:val="0"/>
          <w:numId w:val="1001"/>
        </w:numPr>
        <w:jc w:val="left"/>
        <w:keepNext w:val="0"/>
        <w:keepLines w:val="0"/>
        <w:widowControl w:val="1"/>
      </w:pPr>
      <w:bookmarkStart w:id="71"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1"/>
    </w:p>
    <w:p>
      <w:pPr>
        <w:pStyle w:val="ReferenceEntry"/>
        <w:numPr>
          <w:ilvl w:val="0"/>
          <w:numId w:val="1001"/>
        </w:numPr>
        <w:jc w:val="left"/>
        <w:keepNext w:val="0"/>
        <w:keepLines w:val="0"/>
        <w:widowControl w:val="1"/>
      </w:pPr>
      <w:bookmarkStart w:id="72" w:name="ref-gomez2018"/>
      <w:r>
        <w:t xml:space="preserve">Gómez-Bombarelli, R.</w:t>
      </w:r>
      <w:r>
        <w:t xml:space="preserve"> </w:t>
      </w:r>
      <w:r>
        <w:rPr>
          <w:i/>
          <w:iCs/>
        </w:rPr>
        <w:t xml:space="preserve">et al.</w:t>
      </w:r>
      <w:r>
        <w:t xml:space="preserve"> </w:t>
      </w:r>
      <w:r>
        <w:t xml:space="preserve">Automatic chemical design using a data-driven continuous representation of molecules.</w:t>
      </w:r>
      <w:r>
        <w:t xml:space="preserve"> </w:t>
      </w:r>
      <w:r>
        <w:rPr>
          <w:i/>
          <w:iCs/>
        </w:rPr>
        <w:t xml:space="preserve">ACS Cent. Sci.</w:t>
      </w:r>
      <w:r>
        <w:t xml:space="preserve"> </w:t>
      </w:r>
      <w:r>
        <w:rPr>
          <w:b/>
          <w:bCs/>
        </w:rPr>
        <w:t xml:space="preserve">4</w:t>
      </w:r>
      <w:r>
        <w:t xml:space="preserve">, 268–276 (2018).</w:t>
      </w:r>
      <w:bookmarkEnd w:id="72"/>
    </w:p>
    <w:p>
      <w:pPr>
        <w:pStyle w:val="ReferenceEntry"/>
        <w:numPr>
          <w:ilvl w:val="0"/>
          <w:numId w:val="1001"/>
        </w:numPr>
        <w:jc w:val="left"/>
        <w:keepNext w:val="0"/>
        <w:keepLines w:val="0"/>
        <w:widowControl w:val="1"/>
      </w:pPr>
      <w:bookmarkStart w:id="73" w:name="ref-jin2018"/>
      <w:r>
        <w:t xml:space="preserve">Jin, W., Barzilay, R. &amp; Jaakkola, T. Junction tree variational autoencoder for molecular graph generation.</w:t>
      </w:r>
      <w:r>
        <w:t xml:space="preserve"> </w:t>
      </w:r>
      <w:r>
        <w:rPr>
          <w:i/>
          <w:iCs/>
        </w:rPr>
        <w:t xml:space="preserve">ICML</w:t>
      </w:r>
      <w:r>
        <w:t xml:space="preserve"> </w:t>
      </w:r>
      <w:r>
        <w:t xml:space="preserve">(2018).</w:t>
      </w:r>
      <w:bookmarkEnd w:id="73"/>
    </w:p>
    <w:p>
      <w:pPr>
        <w:pStyle w:val="ReferenceEntry"/>
        <w:numPr>
          <w:ilvl w:val="0"/>
          <w:numId w:val="1001"/>
        </w:numPr>
        <w:jc w:val="left"/>
        <w:keepNext w:val="0"/>
        <w:keepLines w:val="0"/>
        <w:widowControl w:val="1"/>
      </w:pPr>
      <w:bookmarkStart w:id="74"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4"/>
    </w:p>
    <w:p>
      <w:pPr>
        <w:pStyle w:val="ReferenceEntry"/>
        <w:numPr>
          <w:ilvl w:val="0"/>
          <w:numId w:val="1001"/>
        </w:numPr>
        <w:jc w:val="left"/>
        <w:keepNext w:val="0"/>
        <w:keepLines w:val="0"/>
        <w:widowControl w:val="1"/>
      </w:pPr>
      <w:bookmarkStart w:id="75"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5"/>
    </w:p>
    <w:p>
      <w:pPr>
        <w:pStyle w:val="ReferenceEntry"/>
        <w:numPr>
          <w:ilvl w:val="0"/>
          <w:numId w:val="1001"/>
        </w:numPr>
        <w:jc w:val="left"/>
        <w:keepNext w:val="0"/>
        <w:keepLines w:val="0"/>
        <w:widowControl w:val="1"/>
      </w:pPr>
      <w:bookmarkStart w:id="77" w:name="ref-daylight-smarts"/>
      <w:r>
        <w:t xml:space="preserve">Daylight Chemical Information Systems. SMARTS — A language for describing molecular patterns.</w:t>
      </w:r>
      <w:r>
        <w:t xml:space="preserve"> </w:t>
      </w:r>
      <w:hyperlink r:id="rId76">
        <w:r>
          <w:rPr>
            <w:rStyle w:val="Hyperlink"/>
          </w:rPr>
          <w:t xml:space="preserve">daylight.com/dayhtml/doc/theory/theory.smarts.html</w:t>
        </w:r>
      </w:hyperlink>
      <w:r>
        <w:t xml:space="preserve"> </w:t>
      </w:r>
      <w:r>
        <w:t xml:space="preserve">(accessed 2025).</w:t>
      </w:r>
      <w:bookmarkEnd w:id="77"/>
    </w:p>
    <w:p>
      <w:pPr>
        <w:pStyle w:val="ReferenceEntry"/>
        <w:numPr>
          <w:ilvl w:val="0"/>
          <w:numId w:val="1001"/>
        </w:numPr>
        <w:jc w:val="left"/>
        <w:keepNext w:val="0"/>
        <w:keepLines w:val="0"/>
        <w:widowControl w:val="1"/>
      </w:pPr>
      <w:bookmarkStart w:id="78"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8"/>
    </w:p>
    <w:p>
      <w:pPr>
        <w:pStyle w:val="ReferenceEntry"/>
        <w:numPr>
          <w:ilvl w:val="0"/>
          <w:numId w:val="1001"/>
        </w:numPr>
        <w:jc w:val="left"/>
        <w:keepNext w:val="0"/>
        <w:keepLines w:val="0"/>
        <w:widowControl w:val="1"/>
      </w:pPr>
      <w:bookmarkStart w:id="79"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9"/>
    </w:p>
    <w:p>
      <w:pPr>
        <w:pStyle w:val="ReferenceEntry"/>
        <w:numPr>
          <w:ilvl w:val="0"/>
          <w:numId w:val="1001"/>
        </w:numPr>
        <w:jc w:val="left"/>
        <w:keepNext w:val="0"/>
        <w:keepLines w:val="0"/>
        <w:widowControl w:val="1"/>
      </w:pPr>
      <w:bookmarkStart w:id="80"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80"/>
    </w:p>
    <w:p>
      <w:pPr>
        <w:pStyle w:val="ReferenceEntry"/>
        <w:numPr>
          <w:ilvl w:val="0"/>
          <w:numId w:val="1001"/>
        </w:numPr>
        <w:jc w:val="left"/>
        <w:keepNext w:val="0"/>
        <w:keepLines w:val="0"/>
        <w:widowControl w:val="1"/>
      </w:pPr>
      <w:bookmarkStart w:id="81"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81"/>
    </w:p>
    <w:p>
      <w:pPr>
        <w:pStyle w:val="ReferenceEntry"/>
        <w:numPr>
          <w:ilvl w:val="0"/>
          <w:numId w:val="1001"/>
        </w:numPr>
        <w:jc w:val="left"/>
        <w:keepNext w:val="0"/>
        <w:keepLines w:val="0"/>
        <w:widowControl w:val="1"/>
      </w:pPr>
      <w:bookmarkStart w:id="82"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82"/>
    </w:p>
    <w:p>
      <w:pPr>
        <w:pStyle w:val="ReferenceEntry"/>
        <w:numPr>
          <w:ilvl w:val="0"/>
          <w:numId w:val="1001"/>
        </w:numPr>
        <w:jc w:val="left"/>
        <w:keepNext w:val="0"/>
        <w:keepLines w:val="0"/>
        <w:widowControl w:val="1"/>
      </w:pPr>
      <w:bookmarkStart w:id="83" w:name="ref-stephens1994"/>
      <w:r>
        <w:t xml:space="preserve">Stephens, P. J., Devlin, F. J., Chabalowski, C. F. &amp; Frisch, M. J. Ab initio calculation of vibrational absorption and circular dichroism spectra using density functional force fields.</w:t>
      </w:r>
      <w:r>
        <w:t xml:space="preserve"> </w:t>
      </w:r>
      <w:r>
        <w:rPr>
          <w:i/>
          <w:iCs/>
        </w:rPr>
        <w:t xml:space="preserve">J. Phys. Chem.</w:t>
      </w:r>
      <w:r>
        <w:t xml:space="preserve"> </w:t>
      </w:r>
      <w:r>
        <w:rPr>
          <w:b/>
          <w:bCs/>
        </w:rPr>
        <w:t xml:space="preserve">98</w:t>
      </w:r>
      <w:r>
        <w:t xml:space="preserve">, 11623–11627 (1994).</w:t>
      </w:r>
      <w:bookmarkEnd w:id="83"/>
    </w:p>
    <w:bookmarkEnd w:id="84"/>
    <w:bookmarkStart w:id="97" w:name="sec-methods"/>
    <w:p>
      <w:pPr>
        <w:pStyle w:val="Heading2"/>
        <w:keepNext/>
        <w:keepLines/>
        <w:widowControl w:val="1"/>
      </w:pPr>
      <w:r>
        <w:t xml:space="preserve">Methods</w:t>
      </w:r>
    </w:p>
    <w:bookmarkStart w:id="85" w:name="dataset-and-four-tier-label-hierarchy"/>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21</w:t>
        </w:r>
      </w:hyperlink>
      <w:r>
        <w:t xml:space="preserve">, converted to SELFIES</w:t>
      </w:r>
      <w:hyperlink w:anchor="ref-krenn2020selfies">
        <w:r>
          <w:rPr>
            <w:rStyle w:val="Hyperlink"/>
          </w:rPr>
          <w:t xml:space="preserve">12</w:t>
        </w:r>
      </w:hyperlink>
      <w:r>
        <w:t xml:space="preserve">, and tokenised. Tier-A/B rows above the 90th percentile of the detonation-velocity marginal are oversampled by</w:t>
      </w:r>
      <w:r>
        <w:t xml:space="preserve"> </w:t>
      </w:r>
      <m:oMath>
        <m:r>
          <m:t>5</m:t>
        </m:r>
        <m:r>
          <m:rPr>
            <m:sty m:val="p"/>
          </m:rPr>
          <m:t>×</m:t>
        </m:r>
      </m:oMath>
      <w:r>
        <w:t xml:space="preserve">–</w:t>
      </w:r>
      <m:oMath>
        <m:r>
          <m:t>10</m:t>
        </m:r>
        <m:r>
          <m:rPr>
            <m:sty m:val="p"/>
          </m:rPr>
          <m:t>×</m:t>
        </m:r>
      </m:oMath>
      <w:r>
        <w:t xml:space="preserve"> </w:t>
      </w:r>
      <w:r>
        <w:t xml:space="preserve">at training time, raising the mean predicted velocity of the top leads by 0.4 km/s relative to a uniform-sampling control.</w:t>
      </w:r>
    </w:p>
    <w:bookmarkEnd w:id="85"/>
    <w:bookmarkStart w:id="86" w:name="latent-encoder-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w:t>
      </w:r>
      <w:r>
        <w:t xml:space="preserve"> </w:t>
      </w:r>
      <m:oMath>
        <m:r>
          <m:t>β</m:t>
        </m:r>
        <m:r>
          <m:rPr>
            <m:sty m:val="p"/>
          </m:rPr>
          <m:t>=</m:t>
        </m:r>
        <m:r>
          <m:t>0.01</m:t>
        </m:r>
      </m:oMath>
      <w:r>
        <w:t xml:space="preserve">, and freeze the encoder thereafter. The encoder maps a (B, 72) SELFIES-token tensor through a 64-dim embedding and a four-layer MLP to a 1024-dim Gaussian latent.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w:t>
      </w:r>
    </w:p>
    <w:bookmarkEnd w:id="86"/>
    <w:bookmarkStart w:id="87" w:name="two-complementary-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 gates which conditioning properties enter FiLM at each step via a five-stage stochastic pipeline (subset-size sample, weighted pick over per-row eligibility and tier weight, property dropout, CFG dropout).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w:t>
      </w:r>
    </w:p>
    <w:bookmarkEnd w:id="87"/>
    <w:bookmarkStart w:id="88" w:name="Xb6072092ea42a165acd64a93a8c03ed445e5468"/>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29</w:t>
        </w:r>
      </w:hyperlink>
      <w:r>
        <w:t xml:space="preserve">). Self-distillation refines the viability head over three rounds (round 0: 0 hard negatives; round 1: 137; round 2 / production: 918) by mining the model's own false-positive outputs against a chemist-defined held-out probe (seven anchors RDX, HMX, TNT, FOX-7, PETN, TATB, NTO must all reach probability</w:t>
      </w:r>
      <w:r>
        <w:t xml:space="preserve"> </w:t>
      </w:r>
      <m:oMath>
        <m:r>
          <m:rPr>
            <m:sty m:val="p"/>
          </m:rPr>
          <m:t>≥</m:t>
        </m:r>
        <m:r>
          <m:t>0.86</m:t>
        </m:r>
      </m:oMath>
      <w:r>
        <w:t xml:space="preserve">; five chemist cheats must all stay</w:t>
      </w:r>
      <w:r>
        <w:t xml:space="preserve"> </w:t>
      </w:r>
      <m:oMath>
        <m:r>
          <m:rPr>
            <m:sty m:val="p"/>
          </m:rPr>
          <m:t>≤</m:t>
        </m:r>
        <m:r>
          <m:t>0.84</m:t>
        </m:r>
      </m:oMath>
      <w:r>
        <w:t xml:space="preserve">). Three rounds satisfy this jointly. Sensitivity labels are derived from a Politzer–Murray</w:t>
      </w:r>
      <w:hyperlink w:anchor="ref-politzer2014">
        <w:r>
          <w:rPr>
            <w:rStyle w:val="Hyperlink"/>
          </w:rPr>
          <w:t xml:space="preserve">32</w:t>
        </w:r>
      </w:hyperlink>
      <w:r>
        <w:t xml:space="preserve"> </w:t>
      </w:r>
      <w:r>
        <w:t xml:space="preserve">bond-dissociation-energy chemotype-class fit on the Huang &amp; Massa</w:t>
      </w:r>
      <w:hyperlink w:anchor="ref-huang2021bde">
        <w:r>
          <w:rPr>
            <w:rStyle w:val="Hyperlink"/>
          </w:rPr>
          <w:t xml:space="preserve">31</w:t>
        </w:r>
      </w:hyperlink>
      <w:r>
        <w:t xml:space="preserve"> </w:t>
      </w:r>
      <w:r>
        <w:t xml:space="preserve">drop-weight</w:t>
      </w:r>
      <w:r>
        <w:t xml:space="preserve"> </w:t>
      </w:r>
      <m:oMath>
        <m:sSub>
          <m:e>
            <m:r>
              <m:t>h</m:t>
            </m:r>
          </m:e>
          <m:sub>
            <m:r>
              <m:t>50</m:t>
            </m:r>
          </m:sub>
        </m:sSub>
      </m:oMath>
      <w:r>
        <w:t xml:space="preserve"> </w:t>
      </w:r>
      <w:r>
        <w:t xml:space="preserve">data; hazard labels combine the chemist-curated SMARTS catalogue with the Bruns–Watson</w:t>
      </w:r>
      <w:hyperlink w:anchor="ref-bruns2012">
        <w:r>
          <w:rPr>
            <w:rStyle w:val="Hyperlink"/>
          </w:rPr>
          <w:t xml:space="preserve">30</w:t>
        </w:r>
      </w:hyperlink>
      <w:r>
        <w:t xml:space="preserve"> </w:t>
      </w:r>
      <w:r>
        <w:t xml:space="preserve">demerit list.</w:t>
      </w:r>
    </w:p>
    <w:bookmarkEnd w:id="88"/>
    <w:bookmarkStart w:id="89" w:name="sampling-with-multi-task-steer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The final</w:t>
      </w:r>
      <w:r>
        <w:t xml:space="preserve"> </w:t>
      </w:r>
      <m:oMath>
        <m:sSub>
          <m:e>
            <m:r>
              <m:t>z</m:t>
            </m:r>
          </m:e>
          <m:sub>
            <m:r>
              <m:t>0</m:t>
            </m:r>
          </m:sub>
        </m:sSub>
      </m:oMath>
      <w:r>
        <w:t xml:space="preserve"> </w:t>
      </w:r>
      <w:r>
        <w:t xml:space="preserve">decodes through the frozen LIMO decoder.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w:t>
      </w:r>
    </w:p>
    <w:bookmarkEnd w:id="89"/>
    <w:bookmarkStart w:id="90" w:name="validation-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44</w:t>
        </w:r>
      </w:hyperlink>
      <w:r>
        <w:t xml:space="preserve"> </w:t>
      </w:r>
      <w:r>
        <w:t xml:space="preserve">catalogue removes radicals, sulphur, halogens, mixed valence states, and other red flags. SAScore</w:t>
      </w:r>
      <w:hyperlink w:anchor="ref-ertl2009sa">
        <w:r>
          <w:rPr>
            <w:rStyle w:val="Hyperlink"/>
          </w:rPr>
          <w:t xml:space="preserve">26</w:t>
        </w:r>
      </w:hyperlink>
      <w:r>
        <w:t xml:space="preserve"> </w:t>
      </w:r>
      <m:oMath>
        <m:r>
          <m:rPr>
            <m:sty m:val="p"/>
          </m:rPr>
          <m:t>≤</m:t>
        </m:r>
        <m:r>
          <m:t>5.0</m:t>
        </m:r>
      </m:oMath>
      <w:r>
        <w:t xml:space="preserve"> </w:t>
      </w:r>
      <w:r>
        <w:t xml:space="preserve">and SCScore</w:t>
      </w:r>
      <w:hyperlink w:anchor="ref-coley2018scscore">
        <w:r>
          <w:rPr>
            <w:rStyle w:val="Hyperlink"/>
          </w:rPr>
          <w:t xml:space="preserve">27</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17</w:t>
        </w:r>
      </w:hyperlink>
      <w:hyperlink w:anchor="ref-lyp1988">
        <w:r>
          <w:rPr>
            <w:rStyle w:val="Hyperlink"/>
          </w:rPr>
          <w:t xml:space="preserve">18</w:t>
        </w:r>
      </w:hyperlink>
      <w:r>
        <w:t xml:space="preserve">/6-31G(d) optimisation followed by</w:t>
      </w:r>
      <w:r>
        <w:t xml:space="preserve"> </w:t>
      </w:r>
      <m:oMath>
        <m:r>
          <m:t>ω</m:t>
        </m:r>
      </m:oMath>
      <w:r>
        <w:t xml:space="preserve">B97X-D3BJ</w:t>
      </w:r>
      <w:hyperlink w:anchor="ref-mardirossian2014">
        <w:r>
          <w:rPr>
            <w:rStyle w:val="Hyperlink"/>
          </w:rPr>
          <w:t xml:space="preserve">19</w:t>
        </w:r>
      </w:hyperlink>
      <w:r>
        <w:t xml:space="preserve">/def2-TZVP</w:t>
      </w:r>
      <w:hyperlink w:anchor="ref-weigend2005">
        <w:r>
          <w:rPr>
            <w:rStyle w:val="Hyperlink"/>
          </w:rPr>
          <w:t xml:space="preserve">49</w:t>
        </w:r>
      </w:hyperlink>
      <w:r>
        <w:t xml:space="preserve"> </w:t>
      </w:r>
      <w:r>
        <w:t xml:space="preserve">single-points on GPU4PySCF</w:t>
      </w:r>
      <w:hyperlink w:anchor="ref-gpu4pyscf">
        <w:r>
          <w:rPr>
            <w:rStyle w:val="Hyperlink"/>
          </w:rPr>
          <w:t xml:space="preserve">45</w:t>
        </w:r>
      </w:hyperlink>
      <w:hyperlink w:anchor="ref-sun2018">
        <w:r>
          <w:rPr>
            <w:rStyle w:val="Hyperlink"/>
          </w:rPr>
          <w:t xml:space="preserve">46</w:t>
        </w:r>
      </w:hyperlink>
      <w:r>
        <w:t xml:space="preserve">. Density is computed from Bondi</w:t>
      </w:r>
      <w:hyperlink w:anchor="ref-bondi1964">
        <w:r>
          <w:rPr>
            <w:rStyle w:val="Hyperlink"/>
          </w:rPr>
          <w:t xml:space="preserve">20</w:t>
        </w:r>
      </w:hyperlink>
      <w:r>
        <w:t xml:space="preserve"> </w:t>
      </w:r>
      <w:r>
        <w:t xml:space="preserve">van-der-Waals integration with a packing factor of 0.69. At the production setting (pool = 40k),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End w:id="90"/>
    <w:bookmarkStart w:id="91" w:name="X433123d4aacf20f169581d8028ce24141e77383"/>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36</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Absolute-grade detonation velocities require a thermochemical-equilibrium Chapman–Jouguet code</w:t>
      </w:r>
      <w:hyperlink w:anchor="ref-suceska2007explo5">
        <w:r>
          <w:rPr>
            <w:rStyle w:val="Hyperlink"/>
          </w:rPr>
          <w:t xml:space="preserve">37</w:t>
        </w:r>
      </w:hyperlink>
      <w:hyperlink w:anchor="ref-fried1996cheetah">
        <w:r>
          <w:rPr>
            <w:rStyle w:val="Hyperlink"/>
          </w:rPr>
          <w:t xml:space="preserve">38</w:t>
        </w:r>
      </w:hyperlink>
      <w:hyperlink w:anchor="ref-cantera">
        <w:r>
          <w:rPr>
            <w:rStyle w:val="Hyperlink"/>
          </w:rPr>
          <w:t xml:space="preserve">39</w:t>
        </w:r>
      </w:hyperlink>
      <w:r>
        <w:t xml:space="preserve">, which we do not run; we report relative ranking against the six anchors and quantify the regime residual.</w:t>
      </w:r>
    </w:p>
    <w:bookmarkEnd w:id="91"/>
    <w:bookmarkStart w:id="92" w:name="compute-footprint"/>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consumer-class A100 instances.</w:t>
      </w:r>
    </w:p>
    <w:bookmarkEnd w:id="92"/>
    <w:bookmarkStart w:id="94" w:name="data-availability"/>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3">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4"/>
    <w:bookmarkStart w:id="96" w:name="code-availability"/>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5">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6"/>
    <w:bookmarkEnd w:id="97"/>
    <w:bookmarkStart w:id="98"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and Uni-Mol authors for releasing their pretrained checkpoints.</w:t>
      </w:r>
    </w:p>
    <w:bookmarkEnd w:id="98"/>
    <w:bookmarkStart w:id="99"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99"/>
    <w:bookmarkStart w:id="100"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100"/>
    <w:bookmarkStart w:id="101"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101"/>
    <w:bookmarkStart w:id="104"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is available for this paper at</w:t>
      </w:r>
      <w:r>
        <w:t xml:space="preserve"> </w:t>
      </w:r>
      <w:hyperlink r:id="rId102">
        <w:r>
          <w:rPr>
            <w:rStyle w:val="Hyperlink"/>
          </w:rPr>
          <w:t xml:space="preserve">NMIPaperSI.html</w:t>
        </w:r>
      </w:hyperlink>
      <w:r>
        <w:t xml:space="preserve"> </w:t>
      </w:r>
      <w:r>
        <w:t xml:space="preserve">(HTML) and</w:t>
      </w:r>
      <w:r>
        <w:t xml:space="preserve"> </w:t>
      </w:r>
      <w:hyperlink r:id="rId103">
        <w:r>
          <w:rPr>
            <w:rStyle w:val="Hyperlink"/>
          </w:rPr>
          <w:t xml:space="preserve">NMIPaperSI.docx</w:t>
        </w:r>
      </w:hyperlink>
      <w:r>
        <w:t xml:space="preserve"> </w:t>
      </w:r>
      <w:r>
        <w:t xml:space="preserve">(Word).</w:t>
      </w:r>
      <w:r>
        <w:t xml:space="preserve"> </w:t>
      </w:r>
      <w:r>
        <w:rPr>
          <w:b/>
          <w:bCs/>
        </w:rPr>
        <w:t xml:space="preserve">Correspondence and requests for materials</w:t>
      </w:r>
      <w:r>
        <w:t xml:space="preserve"> </w:t>
      </w:r>
      <w:r>
        <w:t xml:space="preserve">should be addressed to A.A.</w:t>
      </w:r>
    </w:p>
    <w:bookmarkEnd w:id="104"/>
    <w:bookmarkStart w:id="105" w:name="sec-edlegends"/>
    <w:p>
      <w:pPr>
        <w:pStyle w:val="Heading2"/>
        <w:keepNext/>
        <w:keepLines/>
        <w:widowControl w:val="1"/>
      </w:pPr>
      <w:r>
        <w:t xml:space="preserve">Extended Data figure and table legends</w:t>
      </w:r>
    </w:p>
    <w:p>
      <w:pPr>
        <w:pStyle w:val="FirstParagraph"/>
        <w:jc w:val="both"/>
        <w:keepNext w:val="0"/>
        <w:keepLines w:val="0"/>
        <w:widowControl w:val="1"/>
      </w:pPr>
      <w:r>
        <w:rPr>
          <w:b/>
          <w:bCs/>
        </w:rPr>
        <w:t xml:space="preserve">Extended Data Fig. 1</w:t>
      </w:r>
      <w:r>
        <w:t xml:space="preserve"> </w:t>
      </w:r>
      <w:r>
        <w:t xml:space="preserve">|</w:t>
      </w:r>
      <w:r>
        <w:t xml:space="preserve"> </w:t>
      </w:r>
      <w:r>
        <w:rPr>
          <w:b/>
          <w:bCs/>
        </w:rPr>
        <w:t xml:space="preserve">DGLD pipeline overview.</w:t>
      </w:r>
      <w:r>
        <w:t xml:space="preserve"> </w:t>
      </w:r>
      <w:r>
        <w:t xml:space="preserve">Encode (LIMO VAE)</w:t>
      </w:r>
      <w:r>
        <w:t xml:space="preserve"> </w:t>
      </w:r>
      <m:oMath>
        <m:r>
          <m:rPr>
            <m:sty m:val="p"/>
          </m:rPr>
          <m:t>→</m:t>
        </m:r>
      </m:oMath>
      <w:r>
        <w:t xml:space="preserve"> </w:t>
      </w:r>
      <w:r>
        <w:t xml:space="preserve">generate (conditional latent DDPM)</w:t>
      </w:r>
      <w:r>
        <w:t xml:space="preserve"> </w:t>
      </w:r>
      <m:oMath>
        <m:r>
          <m:rPr>
            <m:sty m:val="p"/>
          </m:rPr>
          <m:t>→</m:t>
        </m:r>
      </m:oMath>
      <w:r>
        <w:t xml:space="preserve"> </w:t>
      </w:r>
      <w:r>
        <w:t xml:space="preserve">guide (multi-task score model)</w:t>
      </w:r>
      <w:r>
        <w:t xml:space="preserve"> </w:t>
      </w:r>
      <m:oMath>
        <m:r>
          <m:rPr>
            <m:sty m:val="p"/>
          </m:rPr>
          <m:t>→</m:t>
        </m:r>
      </m:oMath>
      <w:r>
        <w:t xml:space="preserve"> </w:t>
      </w:r>
      <w:r>
        <w:t xml:space="preserve">filter (SMARTS, Pareto, GFN2-xTB, DFT). Tier-A/B labels drive the conditional gradient; Tier-C/D labels drive the unconditional CFG branch only.</w:t>
      </w:r>
    </w:p>
    <w:p>
      <w:pPr>
        <w:pStyle w:val="BodyText"/>
        <w:jc w:val="both"/>
        <w:keepNext w:val="0"/>
        <w:keepLines w:val="0"/>
        <w:widowControl w:val="1"/>
      </w:pPr>
      <w:r>
        <w:rPr>
          <w:b/>
          <w:bCs/>
        </w:rPr>
        <w:t xml:space="preserve">Extended Data Fig. 2</w:t>
      </w:r>
      <w:r>
        <w:t xml:space="preserve"> </w:t>
      </w:r>
      <w:r>
        <w:t xml:space="preserve">|</w:t>
      </w:r>
      <w:r>
        <w:t xml:space="preserve"> </w:t>
      </w:r>
      <w:r>
        <w:rPr>
          <w:b/>
          <w:bCs/>
        </w:rPr>
        <w:t xml:space="preserve">Pool-size scaling.</w:t>
      </w:r>
      <w:r>
        <w:t xml:space="preserve"> </w:t>
      </w:r>
      <w:r>
        <w:t xml:space="preserve">Best composite score over top-1 and number of candidates passing every filter versus pool size from 1.5k to 100k. Both curves are still moving at pool = 40k; an M7 five-lane 100k run confirms the trend with 4,639 passing candidates (</w:t>
      </w:r>
      <m:oMath>
        <m:r>
          <m:t>5.1</m:t>
        </m:r>
        <m:r>
          <m:rPr>
            <m:sty m:val="p"/>
          </m:rPr>
          <m:t>×</m:t>
        </m:r>
      </m:oMath>
      <w:r>
        <w:t xml:space="preserve"> </w:t>
      </w:r>
      <w:r>
        <w:t xml:space="preserve">more than the 40k baseline) and scaffold count expanding from 7 to 24.</w:t>
      </w:r>
    </w:p>
    <w:p>
      <w:pPr>
        <w:pStyle w:val="BodyText"/>
        <w:jc w:val="both"/>
        <w:keepNext w:val="0"/>
        <w:keepLines w:val="0"/>
        <w:widowControl w:val="1"/>
      </w:pPr>
      <w:r>
        <w:rPr>
          <w:b/>
          <w:bCs/>
        </w:rPr>
        <w:t xml:space="preserve">Extended Data Fig. 3</w:t>
      </w:r>
      <w:r>
        <w:t xml:space="preserve"> </w:t>
      </w:r>
      <w:r>
        <w:t xml:space="preserve">|</w:t>
      </w:r>
      <w:r>
        <w:t xml:space="preserve"> </w:t>
      </w:r>
      <w:r>
        <w:rPr>
          <w:b/>
          <w:bCs/>
        </w:rPr>
        <w:t xml:space="preserve">Classifier-free guidance scale sweep.</w:t>
      </w:r>
      <w:r>
        <w:t xml:space="preserve"> </w:t>
      </w:r>
      <w:r>
        <w:t xml:space="preserve">CFG scale</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 ranked by post-filter yield over the two-denoiser pool.</w:t>
      </w:r>
      <w:r>
        <w:t xml:space="preserve"> </w:t>
      </w:r>
      <m:oMath>
        <m:r>
          <m:t>w</m:t>
        </m:r>
        <m:r>
          <m:rPr>
            <m:sty m:val="p"/>
          </m:rPr>
          <m:t>=</m:t>
        </m:r>
        <m:r>
          <m:t>7</m:t>
        </m:r>
      </m:oMath>
      <w:r>
        <w:t xml:space="preserve"> </w:t>
      </w:r>
      <w:r>
        <w:t xml:space="preserve">is the empirical sweet spot.</w:t>
      </w:r>
    </w:p>
    <w:p>
      <w:pPr>
        <w:pStyle w:val="BodyText"/>
        <w:jc w:val="both"/>
        <w:keepNext w:val="0"/>
        <w:keepLines w:val="0"/>
        <w:widowControl w:val="1"/>
      </w:pPr>
      <w:r>
        <w:rPr>
          <w:b/>
          <w:bCs/>
        </w:rPr>
        <w:t xml:space="preserve">Extended Data Fig. 4</w:t>
      </w:r>
      <w:r>
        <w:t xml:space="preserve"> </w:t>
      </w:r>
      <w:r>
        <w:t xml:space="preserve">|</w:t>
      </w:r>
      <w:r>
        <w:t xml:space="preserve"> </w:t>
      </w:r>
      <w:r>
        <w:rPr>
          <w:b/>
          <w:bCs/>
        </w:rPr>
        <w:t xml:space="preserve">Score-model loss curves and head-scale sweep.</w:t>
      </w:r>
      <w:r>
        <w:t xml:space="preserve"> </w:t>
      </w:r>
      <w:r>
        <w:t xml:space="preserve">Per-head training and validation loss across the six heads (viability, sensitivity, hazard, performance, SA, SC) over 40k steps. Per-head sample-time scale grid showing the matrix of</w:t>
      </w:r>
      <w:r>
        <w:t xml:space="preserve"> </w:t>
      </w:r>
      <m:oMath>
        <m:r>
          <m:rPr>
            <m:sty m:val="p"/>
          </m:rPr>
          <m:t>(</m:t>
        </m:r>
        <m:sSub>
          <m:e>
            <m:r>
              <m:t>s</m:t>
            </m:r>
          </m:e>
          <m:sub>
            <m:r>
              <m:rPr>
                <m:nor/>
                <m:sty m:val="p"/>
              </m:rPr>
              <m:t>viab</m:t>
            </m:r>
          </m:sub>
        </m:sSub>
        <m:r>
          <m:rPr>
            <m:sty m:val="p"/>
          </m:rPr>
          <m:t>,</m:t>
        </m:r>
        <m:sSub>
          <m:e>
            <m:r>
              <m:t>s</m:t>
            </m:r>
          </m:e>
          <m:sub>
            <m:r>
              <m:rPr>
                <m:nor/>
                <m:sty m:val="p"/>
              </m:rPr>
              <m:t>sens</m:t>
            </m:r>
          </m:sub>
        </m:sSub>
        <m:r>
          <m:rPr>
            <m:sty m:val="p"/>
          </m:rPr>
          <m:t>,</m:t>
        </m:r>
        <m:sSub>
          <m:e>
            <m:r>
              <m:t>s</m:t>
            </m:r>
          </m:e>
          <m:sub>
            <m:r>
              <m:rPr>
                <m:nor/>
                <m:sty m:val="p"/>
              </m:rPr>
              <m:t>hazard</m:t>
            </m:r>
          </m:sub>
        </m:sSub>
        <m:r>
          <m:rPr>
            <m:sty m:val="p"/>
          </m:rPr>
          <m:t>)</m:t>
        </m:r>
      </m:oMath>
      <w:r>
        <w:t xml:space="preserve"> </w:t>
      </w:r>
      <w:r>
        <w:t xml:space="preserve">combinations evaluated for production-condition selection.</w:t>
      </w:r>
    </w:p>
    <w:p>
      <w:pPr>
        <w:pStyle w:val="BodyText"/>
        <w:jc w:val="both"/>
        <w:keepNext w:val="0"/>
        <w:keepLines w:val="0"/>
        <w:widowControl w:val="1"/>
      </w:pPr>
      <w:r>
        <w:rPr>
          <w:b/>
          <w:bCs/>
        </w:rPr>
        <w:t xml:space="preserve">Extended Data Fig. 5</w:t>
      </w:r>
      <w:r>
        <w:t xml:space="preserve"> </w:t>
      </w:r>
      <w:r>
        <w:t xml:space="preserve">|</w:t>
      </w:r>
      <w:r>
        <w:t xml:space="preserve"> </w:t>
      </w:r>
      <w:r>
        <w:rPr>
          <w:b/>
          <w:bCs/>
        </w:rPr>
        <w:t xml:space="preserve">Self-distillation refinement of the viability head.</w:t>
      </w:r>
      <w:r>
        <w:t xml:space="preserve"> </w:t>
      </w:r>
      <w:r>
        <w:t xml:space="preserve">Three rounds of mine-then-retrain on the score-model viability head only; the LIMO encoder and denoiser are frozen across rounds. Hard-negative count cumulates 0</w:t>
      </w:r>
      <w:r>
        <w:t xml:space="preserve"> </w:t>
      </w:r>
      <m:oMath>
        <m:r>
          <m:rPr>
            <m:sty m:val="p"/>
          </m:rPr>
          <m:t>→</m:t>
        </m:r>
      </m:oMath>
      <w:r>
        <w:t xml:space="preserve"> </w:t>
      </w:r>
      <w:r>
        <w:t xml:space="preserve">137</w:t>
      </w:r>
      <w:r>
        <w:t xml:space="preserve"> </w:t>
      </w:r>
      <m:oMath>
        <m:r>
          <m:rPr>
            <m:sty m:val="p"/>
          </m:rPr>
          <m:t>→</m:t>
        </m:r>
      </m:oMath>
      <w:r>
        <w:t xml:space="preserve"> </w:t>
      </w:r>
      <w:r>
        <w:t xml:space="preserve">918. The held-out probe stopping criterion (anchors</w:t>
      </w:r>
      <w:r>
        <w:t xml:space="preserve"> </w:t>
      </w:r>
      <m:oMath>
        <m:r>
          <m:rPr>
            <m:sty m:val="p"/>
          </m:rPr>
          <m:t>≥</m:t>
        </m:r>
        <m:r>
          <m:t>0.86</m:t>
        </m:r>
      </m:oMath>
      <w:r>
        <w:t xml:space="preserve"> </w:t>
      </w:r>
      <w:r>
        <w:t xml:space="preserve">AND cheats</w:t>
      </w:r>
      <w:r>
        <w:t xml:space="preserve"> </w:t>
      </w:r>
      <m:oMath>
        <m:r>
          <m:rPr>
            <m:sty m:val="p"/>
          </m:rPr>
          <m:t>≤</m:t>
        </m:r>
        <m:r>
          <m:t>0.84</m:t>
        </m:r>
      </m:oMath>
      <w:r>
        <w:t xml:space="preserve">) is satisfied at round 2.</w:t>
      </w:r>
    </w:p>
    <w:p>
      <w:pPr>
        <w:pStyle w:val="BodyText"/>
        <w:jc w:val="both"/>
        <w:keepNext w:val="0"/>
        <w:keepLines w:val="0"/>
        <w:widowControl w:val="1"/>
      </w:pPr>
      <w:r>
        <w:rPr>
          <w:b/>
          <w:bCs/>
        </w:rPr>
        <w:t xml:space="preserve">Extended Data Fig. 6</w:t>
      </w:r>
      <w:r>
        <w:t xml:space="preserve"> </w:t>
      </w:r>
      <w:r>
        <w:t xml:space="preserve">|</w:t>
      </w:r>
      <w:r>
        <w:t xml:space="preserve"> </w:t>
      </w:r>
      <w:r>
        <w:rPr>
          <w:b/>
          <w:bCs/>
        </w:rPr>
        <w:t xml:space="preserve">Twelve confirmed leads gallery.</w:t>
      </w:r>
      <w:r>
        <w:t xml:space="preserve"> </w:t>
      </w:r>
      <w:r>
        <w:t xml:space="preserve">Per-lead RDKit 2D depiction, chemotype label, molecular formula, and 6-anchor-calibrated DFT/Kamlet–Jacobs values. Border colour: green = xTB HOMO–LUMO gap</w:t>
      </w:r>
      <w:r>
        <w:t xml:space="preserve"> </w:t>
      </w:r>
      <m:oMath>
        <m:r>
          <m:rPr>
            <m:sty m:val="p"/>
          </m:rPr>
          <m:t>≥</m:t>
        </m:r>
        <m:r>
          <m:t>1.5</m:t>
        </m:r>
      </m:oMath>
      <w:r>
        <w:t xml:space="preserve"> </w:t>
      </w:r>
      <w:r>
        <w:t xml:space="preserve">eV; red = gap below threshold.</w:t>
      </w:r>
    </w:p>
    <w:p>
      <w:pPr>
        <w:pStyle w:val="BodyText"/>
        <w:jc w:val="both"/>
        <w:keepNext w:val="0"/>
        <w:keepLines w:val="0"/>
        <w:widowControl w:val="1"/>
      </w:pPr>
      <w:r>
        <w:rPr>
          <w:b/>
          <w:bCs/>
        </w:rPr>
        <w:t xml:space="preserve">Extended Data Fig. 7</w:t>
      </w:r>
      <w:r>
        <w:t xml:space="preserve"> </w:t>
      </w:r>
      <w:r>
        <w:t xml:space="preserve">|</w:t>
      </w:r>
      <w:r>
        <w:t xml:space="preserve"> </w:t>
      </w:r>
      <w:r>
        <w:rPr>
          <w:b/>
          <w:bCs/>
        </w:rPr>
        <w:t xml:space="preserve">Productive-quadrant scatter.</w:t>
      </w:r>
      <w:r>
        <w:t xml:space="preserve"> </w:t>
      </w:r>
      <w:r>
        <w:t xml:space="preserve">Composite score</w:t>
      </w:r>
      <w:r>
        <w:t xml:space="preserve"> </w:t>
      </w:r>
      <m:oMath>
        <m:r>
          <m:t>S</m:t>
        </m:r>
      </m:oMath>
      <w:r>
        <w:t xml:space="preserve"> </w:t>
      </w:r>
      <w:r>
        <w:t xml:space="preserve">versus viability probability for the twelve DFT-confirmed leads, with the four no-diffusion baselines as reference markers. Marker area is proportional to drop-weight impact sensitivity</w:t>
      </w:r>
      <w:r>
        <w:t xml:space="preserve"> </w:t>
      </w:r>
      <m:oMath>
        <m:sSub>
          <m:e>
            <m:r>
              <m:t>h</m:t>
            </m:r>
          </m:e>
          <m:sub>
            <m:r>
              <m:t>50</m:t>
            </m:r>
          </m:sub>
        </m:sSub>
      </m:oMath>
      <w:r>
        <w:t xml:space="preserve">. The green-tinted upper-right quadrant is the productive zone (novel and HMX-class).</w:t>
      </w:r>
    </w:p>
    <w:p>
      <w:pPr>
        <w:pStyle w:val="BodyText"/>
        <w:jc w:val="both"/>
        <w:keepNext w:val="0"/>
        <w:keepLines w:val="0"/>
        <w:widowControl w:val="1"/>
      </w:pPr>
      <w:r>
        <w:rPr>
          <w:b/>
          <w:bCs/>
        </w:rPr>
        <w:t xml:space="preserve">Extended Data Fig. 8</w:t>
      </w:r>
      <w:r>
        <w:t xml:space="preserve"> </w:t>
      </w:r>
      <w:r>
        <w:t xml:space="preserve">|</w:t>
      </w:r>
      <w:r>
        <w:t xml:space="preserve"> </w:t>
      </w:r>
      <w:r>
        <w:rPr>
          <w:b/>
          <w:bCs/>
        </w:rPr>
        <w:t xml:space="preserve">Merged top-100 source-pool provenance.</w:t>
      </w:r>
      <w:r>
        <w:t xml:space="preserve"> </w:t>
      </w:r>
      <w:r>
        <w:t xml:space="preserve">Per-condition provenance of the merged top-100 across guided and unguided lanes, showing that 89/100 originate from the smallest unguided pool reranked by the Pareto scaffold composite; guidance acts as a high-precision lever on the top of the funnel rather than as the source of bulk Pareto coverage.</w:t>
      </w:r>
    </w:p>
    <w:p>
      <w:pPr>
        <w:pStyle w:val="BodyText"/>
        <w:jc w:val="both"/>
        <w:keepNext w:val="0"/>
        <w:keepLines w:val="0"/>
        <w:widowControl w:val="1"/>
      </w:pPr>
      <w:r>
        <w:rPr>
          <w:b/>
          <w:bCs/>
        </w:rPr>
        <w:t xml:space="preserve">Extended Data Fig. 9</w:t>
      </w:r>
      <w:r>
        <w:t xml:space="preserve"> </w:t>
      </w:r>
      <w:r>
        <w:t xml:space="preserve">|</w:t>
      </w:r>
      <w:r>
        <w:t xml:space="preserve"> </w:t>
      </w:r>
      <w:r>
        <w:rPr>
          <w:b/>
          <w:bCs/>
        </w:rPr>
        <w:t xml:space="preserve">Distribution-learning small multiples.</w:t>
      </w:r>
      <w:r>
        <w:t xml:space="preserve"> </w:t>
      </w:r>
      <w:r>
        <w:t xml:space="preserve">Validity proxy, top-100 scaffold uniqueness, internal diversity, and Fréchet ChemNet Distance versus the labelled master, comparing SMILES-LSTM (red) against seven DGLD conditions (blue).</w:t>
      </w:r>
    </w:p>
    <w:p>
      <w:pPr>
        <w:pStyle w:val="BodyText"/>
        <w:jc w:val="both"/>
        <w:keepNext w:val="0"/>
        <w:keepLines w:val="0"/>
        <w:widowControl w:val="1"/>
      </w:pPr>
      <w:r>
        <w:rPr>
          <w:b/>
          <w:bCs/>
        </w:rPr>
        <w:t xml:space="preserve">Extended Data Table 1</w:t>
      </w:r>
      <w:r>
        <w:t xml:space="preserve"> </w:t>
      </w:r>
      <w:r>
        <w:t xml:space="preserve">|</w:t>
      </w:r>
      <w:r>
        <w:t xml:space="preserve"> </w:t>
      </w:r>
      <w:r>
        <w:rPr>
          <w:b/>
          <w:bCs/>
        </w:rPr>
        <w:t xml:space="preserve">Six-anchor DFT calibration.</w:t>
      </w:r>
      <w:r>
        <w:t xml:space="preserve"> </w:t>
      </w:r>
      <w:r>
        <w:t xml:space="preserve">Anchor compounds RDX, TATB, HMX, PETN, FOX-7, NTO with experimental densities, condensed-phase heats of formation, raw DFT outputs, and the linear correction.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w:t>
      </w:r>
    </w:p>
    <w:bookmarkEnd w:id="10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NMIPaperSI.docx" TargetMode="External"/><Relationship Id="rId102" Type="http://schemas.openxmlformats.org/officeDocument/2006/relationships/hyperlink" Target="NMIPaperSI.html" TargetMode="External"/><Relationship Id="rId93" Type="http://schemas.openxmlformats.org/officeDocument/2006/relationships/hyperlink" Target="https://doi.org/10.5281/zenodo.19821953" TargetMode="External"/><Relationship Id="rId95" Type="http://schemas.openxmlformats.org/officeDocument/2006/relationships/hyperlink" Target="https://github.com/ApartsinProjects/DGLD4Energetic" TargetMode="External"/><Relationship Id="rId76"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2026-05-10T08:30:26Z</dcterms:created>
  <dcterms:modified xsi:type="dcterms:W3CDTF">2026-05-10T08:30:26Z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