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18keywords"/>
        <w:ind w:left="2608"/>
      </w:pPr>
      <w:r>
        <w:rPr>
          <w:b/>
          <w:bCs/>
        </w:rPr>
        <w:t xml:space="preserve">Table A.1.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4"/>
        <w:gridCol w:w="3341"/>
        <w:gridCol w:w="1186"/>
        <w:gridCol w:w="1158"/>
        <w:gridCol w:w="929"/>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3D-CNN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 +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MDPI18keywords"/>
        <w:ind w:left="2608"/>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18keywords"/>
        <w:ind w:left="2608"/>
      </w:pPr>
      <w:r>
        <w:rPr>
          <w:b/>
          <w:bCs/>
        </w:rPr>
        <w:t xml:space="preserve">Table B.1a.</w:t>
      </w:r>
      <w:r>
        <w:t xml:space="preserve"> </w:t>
      </w:r>
      <w:r>
        <w:t xml:space="preserve">LIMO SELFIES-VAE hyperparameters. Source of truth for all LIMO-related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18keywords"/>
        <w:ind w:left="2608"/>
      </w:pPr>
      <w:r>
        <w:rPr>
          <w:b/>
          <w:bCs/>
        </w:rPr>
        <w:t xml:space="preserve">Table B.1b.</w:t>
      </w:r>
      <w:r>
        <w:t xml:space="preserve"> </w:t>
      </w:r>
      <w:r>
        <w:t xml:space="preserve">Denoiser and multi-task score-model hyperparameters. Source of truth for all denoiser and score-model numeric values referenced in Section 4–Section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18keywords"/>
        <w:ind w:left="2608"/>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1"/>
        <w:gridCol w:w="2120"/>
        <w:gridCol w:w="3727"/>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~2089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ZINC-250k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2-fold scaffold-CV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B.5)</w:t>
      </w:r>
    </w:p>
    <w:p>
      <w:pPr>
        <w:pStyle w:val="MDPI18keywords"/>
        <w:ind w:left="2608"/>
      </w:pPr>
      <w:r>
        <w:t xml:space="preserve">Complete configuration used throughout Section 2.2–Section 2.5. Each knob traces to the Section 2.6 ablation (or Section 4.15 hyperparameter sweep) that selected it.</w:t>
      </w:r>
    </w:p>
    <w:p>
      <w:pPr>
        <w:pStyle w:val="MDPI18keywords"/>
        <w:ind w:left="2608"/>
      </w:pPr>
      <w:r>
        <w:rPr>
          <w:b/>
          <w:bCs/>
        </w:rPr>
        <w:t xml:space="preserve">Table B.5.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03"/>
        <w:gridCol w:w="3471"/>
        <w:gridCol w:w="2684"/>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3D-CNN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1.1)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18keywords"/>
        <w:ind w:left="2608"/>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C.1b.</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18keywords"/>
        <w:ind w:left="2608"/>
      </w:pPr>
      <w:r>
        <w:rPr>
          <w:b/>
          <w:bCs/>
        </w:rPr>
        <w:t xml:space="preserve">Table C.1b.</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18keywords"/>
        <w:ind w:left="2608"/>
      </w:pPr>
      <w:r>
        <w:rPr>
          <w:b/>
          <w:bCs/>
        </w:rPr>
        <w:t xml:space="preserve">Table C.1c.</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18keywords"/>
        <w:ind w:left="2608"/>
      </w:pPr>
      <w:r>
        <w:rPr>
          <w:b/>
          <w:bCs/>
        </w:rPr>
        <w:t xml:space="preserve">Table C.1d.</w:t>
      </w:r>
      <w:r>
        <w:t xml:space="preserve"> </w:t>
      </w:r>
      <w:r>
        <w:t xml:space="preserve">DFT-derived properties for the three reference-class scaffolds. Calibration as Table C.1b.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C.1b.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18keywords"/>
        <w:ind w:left="2608"/>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80"/>
        <w:gridCol w:w="1198"/>
        <w:gridCol w:w="1262"/>
        <w:gridCol w:w="1422"/>
        <w:gridCol w:w="1496"/>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3D-CNN</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− 3D-CNN)</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P=24.1</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3D-CNN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 s</w:t>
      </w:r>
      <w:r>
        <w:rPr>
          <w:vertAlign w:val="superscript"/>
        </w:rPr>
        <w:t xml:space="preserve">−1</w:t>
      </w:r>
      <w:r>
        <w:t xml:space="preserve"> </w:t>
      </w:r>
      <w:r>
        <w:t xml:space="preserve">(Table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18keywords"/>
        <w:ind w:left="2608"/>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18keywords"/>
        <w:ind w:left="2608"/>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C.4 is positive (+0.54 km s</w:t>
      </w:r>
      <w:r>
        <w:rPr>
          <w:vertAlign w:val="superscript"/>
        </w:rPr>
        <w:t xml:space="preserve">−1</w:t>
      </w:r>
      <w:r>
        <w:t xml:space="preserve">), indicating apparent K-J over-prediction at this extreme N-fraction; this sign flip is an artifact of the open-form Q approximation (Q ≈ ΔHf/MW without product-side subtraction) and does not apply to the closed-form K-J used per-lead in Table C.2.</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18keywords"/>
        <w:ind w:left="2608"/>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superseded ablations</w:t>
      </w:r>
    </w:p>
    <w:p>
      <w:pPr>
        <w:pStyle w:val="MDPI18keywords"/>
        <w:ind w:left="2608"/>
      </w:pPr>
      <w:r>
        <w:t xml:space="preserve">This appendix collects implementation-specific names, version codes, hardware configurations, hyperparameter ablations, and superseded results that are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18keywords"/>
        <w:ind w:left="2608"/>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18keywords"/>
        <w:ind w:left="2608"/>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18keywords"/>
        <w:ind w:left="2608"/>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18keywords"/>
        <w:ind w:left="2608"/>
      </w:pPr>
      <w:r>
        <w:rPr>
          <w:b/>
          <w:bCs/>
        </w:rPr>
        <w:t xml:space="preserve">Table D.3a.</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18keywords"/>
        <w:ind w:left="2608"/>
      </w:pPr>
      <w:r>
        <w:rPr>
          <w:b/>
          <w:bCs/>
        </w:rPr>
        <w:t xml:space="preserve">Table D.4.</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18keywords"/>
        <w:ind w:left="2608"/>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D.4):</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18keywords"/>
        <w:ind w:left="2608"/>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18keywords"/>
        <w:ind w:left="2608"/>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negative-result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18keywords"/>
        <w:ind w:left="2608"/>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18keywords"/>
        <w:ind w:left="2608"/>
      </w:pPr>
      <w:r>
        <w:rPr>
          <w:b/>
          <w:bCs/>
        </w:rPr>
        <w:t xml:space="preserve">Table E.2.</w:t>
      </w:r>
      <w:r>
        <w:t xml:space="preserve"> </w:t>
      </w:r>
      <w:r>
        <w:t xml:space="preserve">Ten most-novel CHNO-neutral candidates from the SMILES-LSTM pool. Columns as Table E.1.</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Supplementary Section D.9</w:t>
        </w:r>
      </w:hyperlink>
      <w:r>
        <w:t xml:space="preserve">; the SC-gradient sweep and the heuristic-vs-literature sensitivity-head ablation (Supplementary Section B.2) are in</w:t>
      </w:r>
      <w:r>
        <w:t xml:space="preserve"> </w:t>
      </w:r>
      <w:hyperlink w:anchor="sec-app">
        <w:r>
          <w:rPr>
            <w:rStyle w:val="Hyperlink"/>
          </w:rPr>
          <w:t xml:space="preserve">Supplementary Section D.6</w:t>
        </w:r>
      </w:hyperlink>
      <w:r>
        <w:t xml:space="preserve">.</w:t>
      </w:r>
    </w:p>
    <w:p>
      <w:pPr>
        <w:pStyle w:val="MDPI18keywords"/>
        <w:ind w:left="2608"/>
      </w:pPr>
      <w:r>
        <w:rPr>
          <w:b/>
          <w:bCs/>
        </w:rPr>
        <w:t xml:space="preserve">Table F.1.</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18keywords"/>
        <w:ind w:left="2608"/>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18keywords"/>
        <w:ind w:left="2608"/>
      </w:pPr>
      <w:r>
        <w:rPr>
          <w:b/>
          <w:bCs/>
        </w:rPr>
        <w:t xml:space="preserve">Table F.3.</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18keywords"/>
        <w:ind w:left="2608"/>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Supplementary Section D.6</w:t>
        </w:r>
      </w:hyperlink>
      <w:r>
        <w:t xml:space="preserve">.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18keywords"/>
        <w:ind w:left="2608"/>
      </w:pPr>
      <w:r>
        <w:rPr>
          <w:b/>
          <w:bCs/>
        </w:rPr>
        <w:t xml:space="preserve">Table F.5.</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18keywords"/>
        <w:ind w:left="2608"/>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p>
      <w:pPr>
        <w:pStyle w:val="MDPI81references"/>
        <w:numPr>
          <w:ilvl w:val="0"/>
          <w:numId w:val="0"/>
        </w:numPr>
        <w:ind w:left="180" w:hanging="180"/>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MDPI81references"/>
        <w:numPr>
          <w:ilvl w:val="0"/>
          <w:numId w:val="0"/>
        </w:numPr>
        <w:ind w:left="180" w:hanging="180"/>
      </w:pPr>
      <w:bookmarkStart w:id="67" w:name="ref-ho2022cfg"/>
      <w:r>
        <w:t xml:space="preserve">Ho, J., &amp; Salimans, T. (2022). Classifier-Free Diffusion Guidance. arXiv:2207.12598.</w:t>
      </w:r>
      <w:bookmarkEnd w:id="67"/>
    </w:p>
    <w:p>
      <w:pPr>
        <w:pStyle w:val="MDPI81references"/>
        <w:numPr>
          <w:ilvl w:val="0"/>
          <w:numId w:val="0"/>
        </w:numPr>
        <w:ind w:left="180" w:hanging="180"/>
      </w:pPr>
      <w:bookmarkStart w:id="6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68"/>
    </w:p>
    <w:p>
      <w:pPr>
        <w:pStyle w:val="MDPI81references"/>
        <w:numPr>
          <w:ilvl w:val="0"/>
          <w:numId w:val="0"/>
        </w:numPr>
        <w:ind w:left="180" w:hanging="180"/>
      </w:pPr>
      <w:bookmarkStart w:id="6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69"/>
    </w:p>
    <w:p>
      <w:pPr>
        <w:pStyle w:val="MDPI81references"/>
        <w:numPr>
          <w:ilvl w:val="0"/>
          <w:numId w:val="0"/>
        </w:numPr>
        <w:ind w:left="180" w:hanging="180"/>
      </w:pPr>
      <w:bookmarkStart w:id="7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70"/>
    </w:p>
    <w:p>
      <w:pPr>
        <w:pStyle w:val="MDPI81references"/>
        <w:numPr>
          <w:ilvl w:val="0"/>
          <w:numId w:val="0"/>
        </w:numPr>
        <w:ind w:left="180" w:hanging="180"/>
      </w:pPr>
      <w:bookmarkStart w:id="7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71"/>
    </w:p>
    <w:p>
      <w:pPr>
        <w:pStyle w:val="MDPI81references"/>
        <w:numPr>
          <w:ilvl w:val="0"/>
          <w:numId w:val="0"/>
        </w:numPr>
        <w:ind w:left="180" w:hanging="180"/>
      </w:pPr>
      <w:bookmarkStart w:id="72"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2"/>
    </w:p>
    <w:p>
      <w:pPr>
        <w:pStyle w:val="MDPI81references"/>
        <w:numPr>
          <w:ilvl w:val="0"/>
          <w:numId w:val="0"/>
        </w:numPr>
        <w:ind w:left="180" w:hanging="180"/>
      </w:pPr>
      <w:bookmarkStart w:id="73"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3"/>
    </w:p>
    <w:p>
      <w:pPr>
        <w:pStyle w:val="MDPI81references"/>
        <w:numPr>
          <w:ilvl w:val="0"/>
          <w:numId w:val="0"/>
        </w:numPr>
        <w:ind w:left="180" w:hanging="180"/>
      </w:pPr>
      <w:bookmarkStart w:id="74" w:name="ref-reidenbach2023molmim"/>
      <w:r>
        <w:t xml:space="preserve">Reidenbach, D., Livne, M., Ilango, R. K., Gill, M., &amp; Israeli, J. (2023). MolMIM: A Molecular Language Model for Property-Guided Molecule Generation via Mutual Information Machines. (MLDD Workshop, ICLR 2023; arXiv:2208.09016).</w:t>
      </w:r>
      <w:bookmarkEnd w:id="74"/>
    </w:p>
    <w:p>
      <w:pPr>
        <w:pStyle w:val="MDPI81references"/>
        <w:numPr>
          <w:ilvl w:val="0"/>
          <w:numId w:val="0"/>
        </w:numPr>
        <w:ind w:left="180" w:hanging="180"/>
      </w:pPr>
      <w:bookmarkStart w:id="75" w:name="ref-jaegle2021perceiver"/>
      <w:r>
        <w:t xml:space="preserve">Jaegle, A. et al. (2021). Perceiver: General Perception with Iterative Attention.</w:t>
      </w:r>
      <w:r>
        <w:t xml:space="preserve"> </w:t>
      </w:r>
      <w:r>
        <w:rPr>
          <w:i/>
          <w:iCs/>
        </w:rPr>
        <w:t xml:space="preserve">ICML 2021</w:t>
      </w:r>
      <w:r>
        <w:t xml:space="preserve">. arXiv:2103.03206.</w:t>
      </w:r>
      <w:bookmarkEnd w:id="75"/>
    </w:p>
    <w:p>
      <w:pPr>
        <w:pStyle w:val="MDPI81references"/>
        <w:numPr>
          <w:ilvl w:val="0"/>
          <w:numId w:val="0"/>
        </w:numPr>
        <w:ind w:left="180" w:hanging="180"/>
      </w:pPr>
      <w:bookmarkStart w:id="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76"/>
    </w:p>
    <w:p>
      <w:pPr>
        <w:pStyle w:val="MDPI81references"/>
        <w:numPr>
          <w:ilvl w:val="0"/>
          <w:numId w:val="0"/>
        </w:numPr>
        <w:ind w:left="180" w:hanging="180"/>
      </w:pPr>
      <w:bookmarkStart w:id="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77"/>
    </w:p>
    <w:p>
      <w:pPr>
        <w:pStyle w:val="MDPI81references"/>
        <w:numPr>
          <w:ilvl w:val="0"/>
          <w:numId w:val="0"/>
        </w:numPr>
        <w:ind w:left="180" w:hanging="180"/>
      </w:pPr>
      <w:bookmarkStart w:id="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78"/>
    </w:p>
    <w:p>
      <w:pPr>
        <w:pStyle w:val="MDPI81references"/>
        <w:numPr>
          <w:ilvl w:val="0"/>
          <w:numId w:val="0"/>
        </w:numPr>
        <w:ind w:left="180" w:hanging="180"/>
      </w:pPr>
      <w:bookmarkStart w:id="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79"/>
    </w:p>
    <w:p>
      <w:pPr>
        <w:pStyle w:val="MDPI81references"/>
        <w:numPr>
          <w:ilvl w:val="0"/>
          <w:numId w:val="0"/>
        </w:numPr>
        <w:ind w:left="180" w:hanging="180"/>
      </w:pPr>
      <w:bookmarkStart w:id="80"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80"/>
    </w:p>
    <w:p>
      <w:pPr>
        <w:pStyle w:val="MDPI81references"/>
        <w:numPr>
          <w:ilvl w:val="0"/>
          <w:numId w:val="0"/>
        </w:numPr>
        <w:ind w:left="180" w:hanging="180"/>
      </w:pPr>
      <w:bookmarkStart w:id="81"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81"/>
    </w:p>
    <w:p>
      <w:pPr>
        <w:pStyle w:val="MDPI81references"/>
        <w:numPr>
          <w:ilvl w:val="0"/>
          <w:numId w:val="0"/>
        </w:numPr>
        <w:ind w:left="180" w:hanging="180"/>
      </w:pPr>
      <w:bookmarkStart w:id="8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82"/>
    </w:p>
    <w:p>
      <w:pPr>
        <w:pStyle w:val="MDPI81references"/>
        <w:numPr>
          <w:ilvl w:val="0"/>
          <w:numId w:val="0"/>
        </w:numPr>
        <w:ind w:left="180" w:hanging="180"/>
      </w:pPr>
      <w:bookmarkStart w:id="83" w:name="ref-vignac2023digress"/>
      <w:r>
        <w:t xml:space="preserve">Vignac, C. et al. (2023). DiGress: Discrete Denoising Diffusion for Graph Generation.</w:t>
      </w:r>
      <w:r>
        <w:t xml:space="preserve"> </w:t>
      </w:r>
      <w:r>
        <w:rPr>
          <w:i/>
          <w:iCs/>
        </w:rPr>
        <w:t xml:space="preserve">ICLR 2023</w:t>
      </w:r>
      <w:r>
        <w:t xml:space="preserve">. arXiv:2209.14734.</w:t>
      </w:r>
      <w:bookmarkEnd w:id="83"/>
    </w:p>
    <w:p>
      <w:pPr>
        <w:pStyle w:val="MDPI81references"/>
        <w:numPr>
          <w:ilvl w:val="0"/>
          <w:numId w:val="0"/>
        </w:numPr>
        <w:ind w:left="180" w:hanging="180"/>
      </w:pPr>
      <w:bookmarkStart w:id="84" w:name="ref-ho2020ddpm"/>
      <w:r>
        <w:t xml:space="preserve">Ho, J., Jain, A., &amp; Abbeel, P. (2020). Denoising Diffusion Probabilistic Models.</w:t>
      </w:r>
      <w:r>
        <w:t xml:space="preserve"> </w:t>
      </w:r>
      <w:r>
        <w:rPr>
          <w:i/>
          <w:iCs/>
        </w:rPr>
        <w:t xml:space="preserve">NeurIPS 2020</w:t>
      </w:r>
      <w:r>
        <w:t xml:space="preserve">. arXiv:2006.11239.</w:t>
      </w:r>
      <w:bookmarkEnd w:id="84"/>
    </w:p>
    <w:p>
      <w:pPr>
        <w:pStyle w:val="MDPI81references"/>
        <w:numPr>
          <w:ilvl w:val="0"/>
          <w:numId w:val="0"/>
        </w:numPr>
        <w:ind w:left="180" w:hanging="180"/>
      </w:pPr>
      <w:bookmarkStart w:id="85"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85"/>
    </w:p>
    <w:p>
      <w:pPr>
        <w:pStyle w:val="MDPI81references"/>
        <w:numPr>
          <w:ilvl w:val="0"/>
          <w:numId w:val="0"/>
        </w:numPr>
        <w:ind w:left="180" w:hanging="180"/>
      </w:pPr>
      <w:bookmarkStart w:id="86"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6"/>
    </w:p>
    <w:p>
      <w:pPr>
        <w:pStyle w:val="MDPI81references"/>
        <w:numPr>
          <w:ilvl w:val="0"/>
          <w:numId w:val="0"/>
        </w:numPr>
        <w:ind w:left="180" w:hanging="180"/>
      </w:pPr>
      <w:bookmarkStart w:id="8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7"/>
    </w:p>
    <w:p>
      <w:pPr>
        <w:pStyle w:val="MDPI81references"/>
        <w:numPr>
          <w:ilvl w:val="0"/>
          <w:numId w:val="0"/>
        </w:numPr>
        <w:ind w:left="180" w:hanging="180"/>
      </w:pPr>
      <w:bookmarkStart w:id="88"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8"/>
    </w:p>
    <w:p>
      <w:pPr>
        <w:pStyle w:val="MDPI81references"/>
        <w:numPr>
          <w:ilvl w:val="0"/>
          <w:numId w:val="0"/>
        </w:numPr>
        <w:ind w:left="180" w:hanging="180"/>
      </w:pPr>
      <w:bookmarkStart w:id="8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9"/>
    </w:p>
    <w:p>
      <w:pPr>
        <w:pStyle w:val="MDPI81references"/>
        <w:numPr>
          <w:ilvl w:val="0"/>
          <w:numId w:val="0"/>
        </w:numPr>
        <w:ind w:left="180" w:hanging="180"/>
      </w:pPr>
      <w:bookmarkStart w:id="90"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90"/>
    </w:p>
    <w:p>
      <w:pPr>
        <w:pStyle w:val="MDPI81references"/>
        <w:numPr>
          <w:ilvl w:val="0"/>
          <w:numId w:val="0"/>
        </w:numPr>
        <w:ind w:left="180" w:hanging="180"/>
      </w:pPr>
      <w:bookmarkStart w:id="91"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1"/>
    </w:p>
    <w:p>
      <w:pPr>
        <w:pStyle w:val="MDPI81references"/>
        <w:numPr>
          <w:ilvl w:val="0"/>
          <w:numId w:val="0"/>
        </w:numPr>
        <w:ind w:left="180" w:hanging="180"/>
      </w:pPr>
      <w:bookmarkStart w:id="92"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2"/>
    </w:p>
    <w:p>
      <w:pPr>
        <w:pStyle w:val="MDPI81references"/>
        <w:numPr>
          <w:ilvl w:val="0"/>
          <w:numId w:val="0"/>
        </w:numPr>
        <w:ind w:left="180" w:hanging="180"/>
      </w:pPr>
      <w:bookmarkStart w:id="93"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3"/>
    </w:p>
    <w:p>
      <w:pPr>
        <w:pStyle w:val="MDPI81references"/>
        <w:numPr>
          <w:ilvl w:val="0"/>
          <w:numId w:val="0"/>
        </w:numPr>
        <w:ind w:left="180" w:hanging="180"/>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MDPI81references"/>
        <w:numPr>
          <w:ilvl w:val="0"/>
          <w:numId w:val="0"/>
        </w:numPr>
        <w:ind w:left="180" w:hanging="180"/>
      </w:pPr>
      <w:bookmarkStart w:id="95"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95"/>
    </w:p>
    <w:p>
      <w:pPr>
        <w:pStyle w:val="MDPI81references"/>
        <w:numPr>
          <w:ilvl w:val="0"/>
          <w:numId w:val="0"/>
        </w:numPr>
        <w:ind w:left="180" w:hanging="180"/>
      </w:pPr>
      <w:bookmarkStart w:id="9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96"/>
    </w:p>
    <w:p>
      <w:pPr>
        <w:pStyle w:val="MDPI81references"/>
        <w:numPr>
          <w:ilvl w:val="0"/>
          <w:numId w:val="0"/>
        </w:numPr>
        <w:ind w:left="180" w:hanging="180"/>
      </w:pPr>
      <w:bookmarkStart w:id="9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97"/>
    </w:p>
    <w:p>
      <w:pPr>
        <w:pStyle w:val="MDPI81references"/>
        <w:numPr>
          <w:ilvl w:val="0"/>
          <w:numId w:val="0"/>
        </w:numPr>
        <w:ind w:left="180" w:hanging="180"/>
      </w:pPr>
      <w:bookmarkStart w:id="98"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98"/>
    </w:p>
    <w:p>
      <w:pPr>
        <w:pStyle w:val="MDPI81references"/>
        <w:numPr>
          <w:ilvl w:val="0"/>
          <w:numId w:val="0"/>
        </w:numPr>
        <w:ind w:left="180" w:hanging="180"/>
      </w:pPr>
      <w:bookmarkStart w:id="99"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9"/>
    </w:p>
    <w:p>
      <w:pPr>
        <w:pStyle w:val="MDPI81references"/>
        <w:numPr>
          <w:ilvl w:val="0"/>
          <w:numId w:val="0"/>
        </w:numPr>
        <w:ind w:left="180" w:hanging="180"/>
      </w:pPr>
      <w:bookmarkStart w:id="100"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00"/>
    </w:p>
    <w:p>
      <w:pPr>
        <w:pStyle w:val="MDPI81references"/>
        <w:numPr>
          <w:ilvl w:val="0"/>
          <w:numId w:val="0"/>
        </w:numPr>
        <w:ind w:left="180" w:hanging="180"/>
      </w:pPr>
      <w:bookmarkStart w:id="10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01"/>
    </w:p>
    <w:p>
      <w:pPr>
        <w:pStyle w:val="MDPI81references"/>
        <w:numPr>
          <w:ilvl w:val="0"/>
          <w:numId w:val="0"/>
        </w:numPr>
        <w:ind w:left="180" w:hanging="180"/>
      </w:pPr>
      <w:bookmarkStart w:id="102"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02"/>
    </w:p>
    <w:p>
      <w:pPr>
        <w:pStyle w:val="MDPI81references"/>
        <w:numPr>
          <w:ilvl w:val="0"/>
          <w:numId w:val="0"/>
        </w:numPr>
        <w:ind w:left="180" w:hanging="180"/>
      </w:pPr>
      <w:bookmarkStart w:id="10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03"/>
    </w:p>
    <w:p>
      <w:pPr>
        <w:pStyle w:val="MDPI81references"/>
        <w:numPr>
          <w:ilvl w:val="0"/>
          <w:numId w:val="0"/>
        </w:numPr>
        <w:ind w:left="180" w:hanging="180"/>
      </w:pPr>
      <w:bookmarkStart w:id="10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4"/>
    </w:p>
    <w:p>
      <w:pPr>
        <w:pStyle w:val="MDPI81references"/>
        <w:numPr>
          <w:ilvl w:val="0"/>
          <w:numId w:val="0"/>
        </w:numPr>
        <w:ind w:left="180" w:hanging="180"/>
      </w:pPr>
      <w:bookmarkStart w:id="10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5"/>
    </w:p>
    <w:p>
      <w:pPr>
        <w:pStyle w:val="MDPI81references"/>
        <w:numPr>
          <w:ilvl w:val="0"/>
          <w:numId w:val="0"/>
        </w:numPr>
        <w:ind w:left="180" w:hanging="180"/>
      </w:pPr>
      <w:bookmarkStart w:id="10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6"/>
    </w:p>
    <w:p>
      <w:pPr>
        <w:pStyle w:val="MDPI81references"/>
        <w:numPr>
          <w:ilvl w:val="0"/>
          <w:numId w:val="0"/>
        </w:numPr>
        <w:ind w:left="180" w:hanging="180"/>
      </w:pPr>
      <w:bookmarkStart w:id="10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7"/>
    </w:p>
    <w:p>
      <w:pPr>
        <w:pStyle w:val="MDPI81references"/>
        <w:numPr>
          <w:ilvl w:val="0"/>
          <w:numId w:val="0"/>
        </w:numPr>
        <w:ind w:left="180" w:hanging="180"/>
      </w:pPr>
      <w:bookmarkStart w:id="108" w:name="ref-reymond2015gdb"/>
      <w:r>
        <w:t xml:space="preserve">Reymond, J.-L. (2015). The chemical space project.</w:t>
      </w:r>
      <w:r>
        <w:t xml:space="preserve"> </w:t>
      </w:r>
      <w:r>
        <w:rPr>
          <w:i/>
          <w:iCs/>
        </w:rPr>
        <w:t xml:space="preserve">Acc. Chem. Res. 48(3)</w:t>
      </w:r>
      <w:r>
        <w:t xml:space="preserve">:722–730.</w:t>
      </w:r>
      <w:bookmarkEnd w:id="108"/>
    </w:p>
    <w:p>
      <w:pPr>
        <w:pStyle w:val="MDPI81references"/>
        <w:numPr>
          <w:ilvl w:val="0"/>
          <w:numId w:val="0"/>
        </w:numPr>
        <w:ind w:left="180" w:hanging="180"/>
      </w:pPr>
      <w:bookmarkStart w:id="10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09"/>
    </w:p>
    <w:p>
      <w:pPr>
        <w:pStyle w:val="MDPI81references"/>
        <w:numPr>
          <w:ilvl w:val="0"/>
          <w:numId w:val="0"/>
        </w:numPr>
        <w:ind w:left="180" w:hanging="180"/>
      </w:pPr>
      <w:bookmarkStart w:id="11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10"/>
    </w:p>
    <w:p>
      <w:pPr>
        <w:pStyle w:val="MDPI81references"/>
        <w:numPr>
          <w:ilvl w:val="0"/>
          <w:numId w:val="0"/>
        </w:numPr>
        <w:ind w:left="180" w:hanging="180"/>
      </w:pPr>
      <w:bookmarkStart w:id="111" w:name="ref-rogers1960computer"/>
      <w:r>
        <w:t xml:space="preserve">Rogers, D. J., &amp; Tanimoto, T. T. (1960). A Computer Program for Classifying Plants.</w:t>
      </w:r>
      <w:r>
        <w:t xml:space="preserve"> </w:t>
      </w:r>
      <w:r>
        <w:rPr>
          <w:i/>
          <w:iCs/>
        </w:rPr>
        <w:t xml:space="preserve">Science 132(3434)</w:t>
      </w:r>
      <w:r>
        <w:t xml:space="preserve">:1115–1118.</w:t>
      </w:r>
      <w:bookmarkEnd w:id="111"/>
    </w:p>
    <w:p>
      <w:pPr>
        <w:pStyle w:val="MDPI81references"/>
        <w:numPr>
          <w:ilvl w:val="0"/>
          <w:numId w:val="0"/>
        </w:numPr>
        <w:ind w:left="180" w:hanging="180"/>
      </w:pPr>
      <w:bookmarkStart w:id="112"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2"/>
    </w:p>
    <w:p>
      <w:pPr>
        <w:pStyle w:val="MDPI81references"/>
        <w:numPr>
          <w:ilvl w:val="0"/>
          <w:numId w:val="0"/>
        </w:numPr>
        <w:ind w:left="180" w:hanging="180"/>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MDPI81references"/>
        <w:numPr>
          <w:ilvl w:val="0"/>
          <w:numId w:val="0"/>
        </w:numPr>
        <w:ind w:left="180" w:hanging="180"/>
      </w:pPr>
      <w:bookmarkStart w:id="115" w:name="ref-landrum2024rdkit"/>
      <w:r>
        <w:t xml:space="preserve">Landrum, G., &amp; contributors. RDKit: Open-source cheminformatics.</w:t>
      </w:r>
      <w:r>
        <w:t xml:space="preserve"> </w:t>
      </w:r>
      <w:hyperlink r:id="rId24">
        <w:r>
          <w:rPr>
            <w:rStyle w:val="Hyperlink"/>
          </w:rPr>
          <w:t xml:space="preserve">rdkit.org</w:t>
        </w:r>
      </w:hyperlink>
      <w:r>
        <w:t xml:space="preserve">.</w:t>
      </w:r>
      <w:bookmarkEnd w:id="115"/>
    </w:p>
    <w:p>
      <w:pPr>
        <w:pStyle w:val="MDPI81references"/>
        <w:numPr>
          <w:ilvl w:val="0"/>
          <w:numId w:val="0"/>
        </w:numPr>
        <w:ind w:left="180" w:hanging="180"/>
      </w:pPr>
      <w:bookmarkStart w:id="117" w:name="ref-daylight-smarts"/>
      <w:r>
        <w:t xml:space="preserve">Daylight Chemical Information Systems. (2007). SMARTS: A Language for Describing Molecular Patterns. Daylight Theory Manual, Aliso Viejo, CA.</w:t>
      </w:r>
      <w:r>
        <w:t xml:space="preserve"> </w:t>
      </w:r>
      <w:hyperlink r:id="rId25">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p>
      <w:pPr>
        <w:pStyle w:val="MDPI81references"/>
        <w:numPr>
          <w:ilvl w:val="0"/>
          <w:numId w:val="0"/>
        </w:numPr>
        <w:ind w:left="180" w:hanging="180"/>
      </w:pPr>
      <w:bookmarkStart w:id="11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18"/>
    </w:p>
    <w:p>
      <w:pPr>
        <w:pStyle w:val="MDPI81references"/>
        <w:numPr>
          <w:ilvl w:val="0"/>
          <w:numId w:val="0"/>
        </w:numPr>
        <w:ind w:left="180" w:hanging="180"/>
      </w:pPr>
      <w:bookmarkStart w:id="11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19"/>
    </w:p>
    <w:p>
      <w:pPr>
        <w:pStyle w:val="MDPI81references"/>
        <w:numPr>
          <w:ilvl w:val="0"/>
          <w:numId w:val="0"/>
        </w:numPr>
        <w:ind w:left="180" w:hanging="180"/>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 Id="rId24" Type="http://schemas.openxmlformats.org/officeDocument/2006/relationships/hyperlink" Target="https://www.rdkit.org" TargetMode="External"/><Relationship Id="rId25" Type="http://schemas.openxmlformats.org/officeDocument/2006/relationships/hyperlink" Target="https://www.daylight.com/dayhtml/doc/theory/theory.smarts.html"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