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generative models trained on the full mixture either memorise the high-performance tail or extrapolate without calibration, and no new HMX-class compound has been disclosed in fifteen years. Here we introduce Domain-Gated Latent Diffusion (DGLD) , a data-driven framework that couples generative inverse design to first-principles validation. A four-tier label-trust gate routes only high-quality labels into the conditional gradient while noisy labels train the unconditional prior; a multi-task score model supplies independently switchable sample-time steering over viability, sensitivity, and hazard; and a four-stage screening funnel (SMARTS gate, Pareto reranker, GFN2-xTB triage, and B3LYP/def2-TZVP density-functional theory) validates every candidate. DGLD yields 11 unique DFT-confirmed novel leads (12 lead cards); the headline compound, 3,4,5-trinitro-1,2-isoxazole, reaches a calibrated density of 2.09 g cm −3 and a Kamlet–Jacobs detonation velocity of 8.25 km s −1 while remaining structurally distinct from all 65,980 training molecules (nearest-neighbour Tanimoto 0.27). Against four baselines on the same corpus, DGLD is the only method generating molecules simultaneously novel and on-target under first-principles validation. The label-gating recipe is domain-agnostic, requiring only a domain-appropriate validation funnel;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HMX/CL-20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(3D-CNN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3D-CNN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six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the Supplementary Information.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and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the Supplementary Information and treat FCD as a chemistry-class-transfer signal rather than a within-domain quality metric, since the ChemNet feature extractor is trained on drug-like ZINC+PubChem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(Section 2.3, the Supplementary Information);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(Section 2.3, the Supplementary Information.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 (Figure 21). Hyperparameters and the production configuration (CFG=7, pool</w:t>
      </w:r>
      <w:r>
        <w:t xml:space="preserve"> </w:t>
      </w:r>
      <m:oMath>
        <m:r>
          <m:rPr>
            <m:sty m:val="p"/>
          </m:rPr>
          <m:t>≥</m:t>
        </m:r>
      </m:oMath>
      <w:r>
        <w:t xml:space="preserve"> </w:t>
      </w:r>
      <w:r>
        <w:t xml:space="preserve">40k per denoiser, alpha-anneal disabled) are documented in Section 4 and the Supplementary Information (Table B.5) and are not re-derived here.</w:t>
      </w:r>
    </w:p>
    <w:p>
      <w:pPr>
        <w:pStyle w:val="MDPI22heading2"/>
        <w:ind w:left="2608"/>
      </w:pPr>
      <w:r>
        <w:t xml:space="preserve">2.2 Top leads from the gated Pareto reranker (Stages 1+2)</w:t>
      </w:r>
    </w:p>
    <w:p>
      <w:pPr>
        <w:pStyle w:val="MDPI32textnoindent"/>
        <w:ind w:left="2608"/>
      </w:pPr>
      <w:r>
        <w:t xml:space="preserve">Applying Section 4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the Supplementary Information.</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Naive single-objective ranking (without the gating layer) puts a polynitro-on-C2 model-cheat at the top; the gates correctly reject it (full SMARTS-trace and rejected-candidate property tabulation in the Supplementary Information.</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the Supplementary Information.</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the Supplementary Information. The 73 candidates that pass Stage 3 but not Stage 4 are accounted for in the Supplementary Information (45 rejected by Stage 2 hard filters; 28 fail K-J/imaginary-frequency/composition gates).</w:t>
      </w:r>
    </w:p>
    <w:p>
      <w:pPr>
        <w:pStyle w:val="MDPI31text"/>
        <w:ind w:left="2608"/>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the Supplementary Information–C.3).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3D-CNN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the Supplementary Information–C.7. An independent Cantera ideal-gas CJ recompute ranks L1, L4, L5 as RDX-class; absolute</w:t>
      </w:r>
      <w:r>
        <w:t xml:space="preserve"> </w:t>
      </w:r>
      <m:oMath>
        <m:r>
          <m:t>D</m:t>
        </m:r>
      </m:oMath>
      <w:r>
        <w:t xml:space="preserve"> </w:t>
      </w:r>
      <w:r>
        <w:t xml:space="preserve">values require BKW/JCZ3 covolume corrections (Section 3), full discussion in the Supplementary Information.</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3D-CNN-predicted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C.4).</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the Supplementary Information.</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3D-CNN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[60]</w:t>
        </w:r>
      </w:hyperlink>
      <w:hyperlink w:anchor="ref-konnov2025nitroisoxazole">
        <w:r>
          <w:rPr>
            <w:rStyle w:val="Hyperlink"/>
          </w:rPr>
          <w:t xml:space="preserve">[61]</w:t>
        </w:r>
      </w:hyperlink>
      <w:r>
        <w:t xml:space="preserve">); the isomeric 3,4,5-trinitro-1</w:t>
      </w:r>
      <w:r>
        <w:rPr>
          <w:i/>
          <w:iCs/>
        </w:rPr>
        <w:t xml:space="preserve">H</w:t>
      </w:r>
      <w:r>
        <w:t xml:space="preserve">-pyrazole</w:t>
      </w:r>
      <w:r>
        <w:t xml:space="preserve"> </w:t>
      </w:r>
      <w:hyperlink w:anchor="ref-herve2010">
        <w:r>
          <w:rPr>
            <w:rStyle w:val="Hyperlink"/>
          </w:rPr>
          <w:t xml:space="preserve">[62]</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the Supplementary Information.</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the Supplementary Information.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6 and 7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the Supplementary Information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Section 3).</w:t>
      </w:r>
    </w:p>
    <w:p>
      <w:pPr>
        <w:pStyle w:val="MDPI31text"/>
        <w:ind w:left="2608"/>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the Supplementary Information. The L-set sits at the upper edge of a credible distribution; L1 and E1 are two HMX-class picks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the Supplementary Information and the Supplementary Information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from Table 8.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3D-CNN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the Supplementary Information</w:t>
        </w:r>
      </w:hyperlink>
      <w:r>
        <w:t xml:space="preserve"> </w:t>
      </w:r>
      <w:r>
        <w:t xml:space="preserve">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leads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C.1c;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F.4.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the Supplementary Information.</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w:t>
      </w:r>
      <w:r>
        <w:t xml:space="preserve"> </w:t>
      </w:r>
      <w:hyperlink w:anchor="sec-app-detailed-ablations">
        <w:r>
          <w:rPr>
            <w:rStyle w:val="Hyperlink"/>
          </w:rPr>
          <w:t xml:space="preserve">the Supplementary Information</w:t>
        </w:r>
      </w:hyperlink>
      <w:r>
        <w:t xml:space="preserve">.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27"/>
        <w:gridCol w:w="1851"/>
        <w:gridCol w:w="3490"/>
        <w:gridCol w:w="990"/>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(+5×);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the Supplementary Information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let a latent diffusion model act as a</w:t>
      </w:r>
      <w:r>
        <w:t xml:space="preserve"> </w:t>
      </w:r>
      <w:r>
        <w:rPr>
          <w:i/>
          <w:iCs/>
        </w:rPr>
        <w:t xml:space="preserve">productive-quadrant generator</w:t>
      </w:r>
      <w:r>
        <w:t xml:space="preserve">: it proposes molecules that are simultaneously novel relative to the labelled corpus and competitive with the HMX/CL-20 reference class under first-principles validation. The two headline leads, L1 (3,4,5-trinitro-1,2-isoxazole) and E1 (4-nitro-1,2,3,5-oxatriazole), arise from disjoint chemotype families on a single sampling run, which argues against reading either placement as a sampling artefact. The mechanism that makes this possible is the label-trust gate: routing only the ~3,000 experimental and DFT rows into the conditional gradient, while the ~63,000 lower-confidence rows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(the Supplementary Information);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±0.4 km s</w:t>
      </w:r>
      <w:r>
        <w:rPr>
          <w:vertAlign w:val="superscript"/>
        </w:rPr>
        <w:t xml:space="preserve">−1</w:t>
      </w:r>
      <w:r>
        <w:t xml:space="preserve"> </w:t>
      </w:r>
      <w:r>
        <w:t xml:space="preserve">in</w:t>
      </w:r>
      <w:r>
        <w:t xml:space="preserve"> </w:t>
      </w:r>
      <m:oMath>
        <m:r>
          <m:t>D</m:t>
        </m:r>
      </m:oMath>
      <w:r>
        <w:t xml:space="preserve">, roughly twice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(the Supplementary Information).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the Supplementary Information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the Supplementary Information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A 7th-anchor extension attempt with DNTF the Supplementary Information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3D-CNN residual reported in Section 2.3 is consistent with the typical disagreement between Kamlet–Jacobs and full Chapman–Jouguet thermochemical-equilibrium codes (EXPLO5, Suceská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MDPI31text"/>
        <w:ind w:left="2608"/>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 cards.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the Supplementary Information reports a 4-condition × 3-seed head-to-head at pool=10k with a no-diffusion SMILES-LSTM baseline, and the Supplementary Information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the Supplementary Information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the Supplementary Information.</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the Supplementary Information / D. Joint property distributions and per-property histograms over the labelled corpus are shown in Figs 10 and 11; the label-tier composition (Figure 12) sits alongside the four-tier table in Section 4;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3D-CNN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(3D-CNN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[64]</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the Supplementary Information.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the Supplementary Information. The two denoiser variants of Section 4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 covers Figure 17 and Section 4 covers Figure 18), and the post-decode pipeline is split across three subsections (Section 4 Sampling covers Figure 20, Section 4 Filtering covers Figure 21, Section 4 Pool fusion covers Figure 22). Section 4 documents how every numeric constant in Section 4–Section 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 Section 4).</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B.1a.</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 and the score model of Section 4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 (distinct from the CFG scale</w:t>
      </w:r>
      <w:r>
        <w:t xml:space="preserve"> </w:t>
      </w:r>
      <m:oMath>
        <m:r>
          <m:t>w</m:t>
        </m:r>
      </m:oMath>
      <w:r>
        <w:t xml:space="preserve"> </w:t>
      </w:r>
      <w:r>
        <w:t xml:space="preserve">of Section 4).</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 and Table B.1b.</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 (full hyperparameters in Table B.1b).</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 Optimiser AdamW, peak LR</w:t>
      </w:r>
      <w:r>
        <w:t xml:space="preserve"> </w:t>
      </w:r>
      <m:oMath>
        <m:sSup>
          <m:e>
            <m:r>
              <m:t>10</m:t>
            </m:r>
          </m:e>
          <m:sup>
            <m:r>
              <m:rPr>
                <m:sty m:val="p"/>
              </m:rPr>
              <m:t>−</m:t>
            </m:r>
            <m:r>
              <m:t>4</m:t>
            </m:r>
          </m:sup>
        </m:sSup>
      </m:oMath>
      <w:r>
        <w:t xml:space="preserve">, cosine decay, batch 128, 20 epochs,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B.1b.</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 architecture; only the training-data tilt differs. Hyperparameters of both checkpoints are listed in Table B.1b.</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 (Figure 22): we union the lanes' SMILES pools and run them once through the rerank funnel. We do not average outputs or interpolate weights, so this is not a classical ensemble in that sense.</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3D-CNN smoke ensemble (Section 4)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the Supplementary Information.</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3D-CNN/Uni-Mol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B.1c.</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the Supplementary Information.</w:t>
      </w:r>
    </w:p>
    <w:p>
      <w:pPr>
        <w:pStyle w:val="MDPI31text"/>
        <w:ind w:left="2608"/>
      </w:pPr>
      <w:r>
        <w:t xml:space="preserve">The auxiliary multi-task heads (Performance, SA, SC) train on the shared trunk for regularisation only, not invoked in the production steering bus the Supplementary Information. Two checkpoint variants (production 6-head hazard-aware and its 5-head predecessor) are released on Zenodo the Supplementary Information.</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the Supplementary Information.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the Supplementary Information.</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the Supplementary Information.</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step on top of classifier-free guidance. The denoiser remains the same checkpoint as Section 4;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the Supplementary Information.</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the Supplementary Information. The CFG scale</w:t>
      </w:r>
      <w:r>
        <w:t xml:space="preserve"> </w:t>
      </w:r>
      <m:oMath>
        <m:r>
          <m:t>w</m:t>
        </m:r>
      </m:oMath>
      <w:r>
        <w:t xml:space="preserve"> </w:t>
      </w:r>
      <w:r>
        <w:t xml:space="preserve">is selected from Section 4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the Supplementary Information.</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[65]</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keep-rate per the Supplementary Information)</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(4.6 % keep-rate, the Supplementary Information)</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the Supplementary Information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 reranker (Figure 21).</w:t>
      </w:r>
    </w:p>
    <w:p>
      <w:pPr>
        <w:pStyle w:val="MDPI22heading2"/>
        <w:ind w:left="2608"/>
      </w:pPr>
      <w:r>
        <w:t xml:space="preserve">4.15 Training and hyperparameter selection</w:t>
      </w:r>
    </w:p>
    <w:p>
      <w:pPr>
        <w:pStyle w:val="MDPI32textnoindent"/>
        <w:ind w:left="2608"/>
      </w:pPr>
      <w:r>
        <w:t xml:space="preserve">Every numeric constant in Section 4-Section 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4–Section 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Information multi-axis matrix (full grid in the Supplementary Information,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the Supplementary Information.</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(the Supplementary Information) confirms the trend: 4 639 passing candidates (5.1× more than the 40k baseline) with scaffold count expanding from 7 to 24.</w:t>
      </w:r>
    </w:p>
    <w:p>
      <w:pPr>
        <w:pStyle w:val="MDPI31text"/>
        <w:ind w:left="2608"/>
      </w:pPr>
      <w:r>
        <w:t xml:space="preserve">The second bucket is stop-criterion-driven. The self-distillation round count was set by the held-out probe described in Section 4,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Section 2 and the Supplementary Information are 1D. Section 2.6 hosts only the</w:t>
      </w:r>
      <w:r>
        <w:t xml:space="preserve"> </w:t>
      </w:r>
      <w:r>
        <w:rPr>
          <w:i/>
          <w:iCs/>
        </w:rPr>
        <w:t xml:space="preserve">use</w:t>
      </w:r>
      <w:r>
        <w:t xml:space="preserve"> </w:t>
      </w:r>
      <w:r>
        <w:t xml:space="preserve">of these settings (baseline comparisons, top-1 metrics) and the Supplementary Information gives the full per-axis grids; the selection process lives here. The full compute footprint is summarised in the Supplementary Information.</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baselines fail the novel-and-on-target test on the same compute: SMILES-LSTM memorises 18.3% of outputs; SELFIES-GA produces 75% (75/100)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(Section 3). Two leads from two distinct scaffold families on a single sampling run rules out the alternative reading that L1's productive-quadrant placement is a sampling artefact.</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Information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7"/>
    </w:p>
    <w:p>
      <w:pPr>
        <w:pStyle w:val="MDPI81references"/>
        <w:numPr>
          <w:ilvl w:val="0"/>
          <w:numId w:val="0"/>
        </w:numPr>
        <w:ind w:left="180" w:hanging="180"/>
      </w:pPr>
      <w:bookmarkStart w:id="13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8"/>
    </w:p>
    <w:p>
      <w:pPr>
        <w:pStyle w:val="MDPI81references"/>
        <w:numPr>
          <w:ilvl w:val="0"/>
          <w:numId w:val="0"/>
        </w:numPr>
        <w:ind w:left="180" w:hanging="180"/>
      </w:pPr>
      <w:bookmarkStart w:id="139" w:name="ref-zhou2023unimol"/>
      <w:r>
        <w:t xml:space="preserve">Zhou, G. et al. (2023). Uni-Mol: A Universal 3D Molecular Representation Learning Framework.</w:t>
      </w:r>
      <w:r>
        <w:t xml:space="preserve"> </w:t>
      </w:r>
      <w:r>
        <w:rPr>
          <w:i/>
          <w:iCs/>
        </w:rPr>
        <w:t xml:space="preserve">ICLR 2023</w:t>
      </w:r>
      <w:r>
        <w:t xml:space="preserve">.</w:t>
      </w:r>
      <w:bookmarkEnd w:id="139"/>
    </w:p>
    <w:p>
      <w:pPr>
        <w:pStyle w:val="MDPI81references"/>
        <w:numPr>
          <w:ilvl w:val="0"/>
          <w:numId w:val="0"/>
        </w:numPr>
        <w:ind w:left="180" w:hanging="180"/>
      </w:pPr>
      <w:bookmarkStart w:id="140" w:name="ref-ho2022cfg"/>
      <w:r>
        <w:t xml:space="preserve">Ho, J., &amp; Salimans, T. (2022). Classifier-Free Diffusion Guidance. arXiv:2207.12598.</w:t>
      </w:r>
      <w:bookmarkEnd w:id="140"/>
    </w:p>
    <w:p>
      <w:pPr>
        <w:pStyle w:val="MDPI81references"/>
        <w:numPr>
          <w:ilvl w:val="0"/>
          <w:numId w:val="0"/>
        </w:numPr>
        <w:ind w:left="180" w:hanging="180"/>
      </w:pPr>
      <w:bookmarkStart w:id="141"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1"/>
    </w:p>
    <w:p>
      <w:pPr>
        <w:pStyle w:val="MDPI81references"/>
        <w:numPr>
          <w:ilvl w:val="0"/>
          <w:numId w:val="0"/>
        </w:numPr>
        <w:ind w:left="180" w:hanging="180"/>
      </w:pPr>
      <w:bookmarkStart w:id="142"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2"/>
    </w:p>
    <w:p>
      <w:pPr>
        <w:pStyle w:val="MDPI81references"/>
        <w:numPr>
          <w:ilvl w:val="0"/>
          <w:numId w:val="0"/>
        </w:numPr>
        <w:ind w:left="180" w:hanging="180"/>
      </w:pPr>
      <w:bookmarkStart w:id="143"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3"/>
    </w:p>
    <w:p>
      <w:pPr>
        <w:pStyle w:val="MDPI81references"/>
        <w:numPr>
          <w:ilvl w:val="0"/>
          <w:numId w:val="0"/>
        </w:numPr>
        <w:ind w:left="180" w:hanging="180"/>
      </w:pPr>
      <w:bookmarkStart w:id="144"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4"/>
    </w:p>
    <w:p>
      <w:pPr>
        <w:pStyle w:val="MDPI81references"/>
        <w:numPr>
          <w:ilvl w:val="0"/>
          <w:numId w:val="0"/>
        </w:numPr>
        <w:ind w:left="180" w:hanging="180"/>
      </w:pPr>
      <w:bookmarkStart w:id="145"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5"/>
    </w:p>
    <w:p>
      <w:pPr>
        <w:pStyle w:val="MDPI81references"/>
        <w:numPr>
          <w:ilvl w:val="0"/>
          <w:numId w:val="0"/>
        </w:numPr>
        <w:ind w:left="180" w:hanging="180"/>
      </w:pPr>
      <w:bookmarkStart w:id="146"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6"/>
    </w:p>
    <w:p>
      <w:pPr>
        <w:pStyle w:val="MDPI81references"/>
        <w:numPr>
          <w:ilvl w:val="0"/>
          <w:numId w:val="0"/>
        </w:numPr>
        <w:ind w:left="180" w:hanging="180"/>
      </w:pPr>
      <w:bookmarkStart w:id="147" w:name="ref-reidenbach2023molmim"/>
      <w:r>
        <w:t xml:space="preserve">Reidenbach, D., Livne, M., Ilango, R. K., Gill, M., &amp; Israeli, J. (2023). MolMIM: A Molecular Language Model for Property-Guided Molecule Generation via Mutual Information Machines. (MLDD Workshop, ICLR 2023; arXiv:2208.09016).</w:t>
      </w:r>
      <w:bookmarkEnd w:id="147"/>
    </w:p>
    <w:p>
      <w:pPr>
        <w:pStyle w:val="MDPI81references"/>
        <w:numPr>
          <w:ilvl w:val="0"/>
          <w:numId w:val="0"/>
        </w:numPr>
        <w:ind w:left="180" w:hanging="180"/>
      </w:pPr>
      <w:bookmarkStart w:id="148" w:name="ref-jaegle2021perceiver"/>
      <w:r>
        <w:t xml:space="preserve">Jaegle, A. et al. (2021). Perceiver: General Perception with Iterative Attention.</w:t>
      </w:r>
      <w:r>
        <w:t xml:space="preserve"> </w:t>
      </w:r>
      <w:r>
        <w:rPr>
          <w:i/>
          <w:iCs/>
        </w:rPr>
        <w:t xml:space="preserve">ICML 2021</w:t>
      </w:r>
      <w:r>
        <w:t xml:space="preserve">. arXiv:2103.03206.</w:t>
      </w:r>
      <w:bookmarkEnd w:id="148"/>
    </w:p>
    <w:p>
      <w:pPr>
        <w:pStyle w:val="MDPI81references"/>
        <w:numPr>
          <w:ilvl w:val="0"/>
          <w:numId w:val="0"/>
        </w:numPr>
        <w:ind w:left="180" w:hanging="180"/>
      </w:pPr>
      <w:bookmarkStart w:id="149"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49"/>
    </w:p>
    <w:p>
      <w:pPr>
        <w:pStyle w:val="MDPI81references"/>
        <w:numPr>
          <w:ilvl w:val="0"/>
          <w:numId w:val="0"/>
        </w:numPr>
        <w:ind w:left="180" w:hanging="180"/>
      </w:pPr>
      <w:bookmarkStart w:id="150"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0"/>
    </w:p>
    <w:p>
      <w:pPr>
        <w:pStyle w:val="MDPI81references"/>
        <w:numPr>
          <w:ilvl w:val="0"/>
          <w:numId w:val="0"/>
        </w:numPr>
        <w:ind w:left="180" w:hanging="180"/>
      </w:pPr>
      <w:bookmarkStart w:id="151"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1"/>
    </w:p>
    <w:p>
      <w:pPr>
        <w:pStyle w:val="MDPI81references"/>
        <w:numPr>
          <w:ilvl w:val="0"/>
          <w:numId w:val="0"/>
        </w:numPr>
        <w:ind w:left="180" w:hanging="180"/>
      </w:pPr>
      <w:bookmarkStart w:id="152"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2"/>
    </w:p>
    <w:p>
      <w:pPr>
        <w:pStyle w:val="MDPI81references"/>
        <w:numPr>
          <w:ilvl w:val="0"/>
          <w:numId w:val="0"/>
        </w:numPr>
        <w:ind w:left="180" w:hanging="180"/>
      </w:pPr>
      <w:bookmarkStart w:id="153"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3"/>
    </w:p>
    <w:p>
      <w:pPr>
        <w:pStyle w:val="MDPI81references"/>
        <w:numPr>
          <w:ilvl w:val="0"/>
          <w:numId w:val="0"/>
        </w:numPr>
        <w:ind w:left="180" w:hanging="180"/>
      </w:pPr>
      <w:bookmarkStart w:id="154"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4"/>
    </w:p>
    <w:p>
      <w:pPr>
        <w:pStyle w:val="MDPI81references"/>
        <w:numPr>
          <w:ilvl w:val="0"/>
          <w:numId w:val="0"/>
        </w:numPr>
        <w:ind w:left="180" w:hanging="180"/>
      </w:pPr>
      <w:bookmarkStart w:id="155"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5"/>
    </w:p>
    <w:p>
      <w:pPr>
        <w:pStyle w:val="MDPI81references"/>
        <w:numPr>
          <w:ilvl w:val="0"/>
          <w:numId w:val="0"/>
        </w:numPr>
        <w:ind w:left="180" w:hanging="180"/>
      </w:pPr>
      <w:bookmarkStart w:id="156" w:name="ref-vignac2023digress"/>
      <w:r>
        <w:t xml:space="preserve">Vignac, C. et al. (2023). DiGress: Discrete Denoising Diffusion for Graph Generation.</w:t>
      </w:r>
      <w:r>
        <w:t xml:space="preserve"> </w:t>
      </w:r>
      <w:r>
        <w:rPr>
          <w:i/>
          <w:iCs/>
        </w:rPr>
        <w:t xml:space="preserve">ICLR 2023</w:t>
      </w:r>
      <w:r>
        <w:t xml:space="preserve">. arXiv:2209.14734.</w:t>
      </w:r>
      <w:bookmarkEnd w:id="156"/>
    </w:p>
    <w:p>
      <w:pPr>
        <w:pStyle w:val="MDPI81references"/>
        <w:numPr>
          <w:ilvl w:val="0"/>
          <w:numId w:val="0"/>
        </w:numPr>
        <w:ind w:left="180" w:hanging="180"/>
      </w:pPr>
      <w:bookmarkStart w:id="157" w:name="ref-ho2020ddpm"/>
      <w:r>
        <w:t xml:space="preserve">Ho, J., Jain, A., &amp; Abbeel, P. (2020). Denoising Diffusion Probabilistic Models.</w:t>
      </w:r>
      <w:r>
        <w:t xml:space="preserve"> </w:t>
      </w:r>
      <w:r>
        <w:rPr>
          <w:i/>
          <w:iCs/>
        </w:rPr>
        <w:t xml:space="preserve">NeurIPS 2020</w:t>
      </w:r>
      <w:r>
        <w:t xml:space="preserve">. arXiv:2006.11239.</w:t>
      </w:r>
      <w:bookmarkEnd w:id="157"/>
    </w:p>
    <w:p>
      <w:pPr>
        <w:pStyle w:val="MDPI81references"/>
        <w:numPr>
          <w:ilvl w:val="0"/>
          <w:numId w:val="0"/>
        </w:numPr>
        <w:ind w:left="180" w:hanging="180"/>
      </w:pPr>
      <w:bookmarkStart w:id="158"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8"/>
    </w:p>
    <w:p>
      <w:pPr>
        <w:pStyle w:val="MDPI81references"/>
        <w:numPr>
          <w:ilvl w:val="0"/>
          <w:numId w:val="0"/>
        </w:numPr>
        <w:ind w:left="180" w:hanging="180"/>
      </w:pPr>
      <w:bookmarkStart w:id="159"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59"/>
    </w:p>
    <w:p>
      <w:pPr>
        <w:pStyle w:val="MDPI81references"/>
        <w:numPr>
          <w:ilvl w:val="0"/>
          <w:numId w:val="0"/>
        </w:numPr>
        <w:ind w:left="180" w:hanging="180"/>
      </w:pPr>
      <w:bookmarkStart w:id="160"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0"/>
    </w:p>
    <w:p>
      <w:pPr>
        <w:pStyle w:val="MDPI81references"/>
        <w:numPr>
          <w:ilvl w:val="0"/>
          <w:numId w:val="0"/>
        </w:numPr>
        <w:ind w:left="180" w:hanging="180"/>
      </w:pPr>
      <w:bookmarkStart w:id="161"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1"/>
    </w:p>
    <w:p>
      <w:pPr>
        <w:pStyle w:val="MDPI81references"/>
        <w:numPr>
          <w:ilvl w:val="0"/>
          <w:numId w:val="0"/>
        </w:numPr>
        <w:ind w:left="180" w:hanging="180"/>
      </w:pPr>
      <w:bookmarkStart w:id="162"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2"/>
    </w:p>
    <w:p>
      <w:pPr>
        <w:pStyle w:val="MDPI81references"/>
        <w:numPr>
          <w:ilvl w:val="0"/>
          <w:numId w:val="0"/>
        </w:numPr>
        <w:ind w:left="180" w:hanging="180"/>
      </w:pPr>
      <w:bookmarkStart w:id="16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3"/>
    </w:p>
    <w:p>
      <w:pPr>
        <w:pStyle w:val="MDPI81references"/>
        <w:numPr>
          <w:ilvl w:val="0"/>
          <w:numId w:val="0"/>
        </w:numPr>
        <w:ind w:left="180" w:hanging="180"/>
      </w:pPr>
      <w:bookmarkStart w:id="164"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4"/>
    </w:p>
    <w:p>
      <w:pPr>
        <w:pStyle w:val="MDPI81references"/>
        <w:numPr>
          <w:ilvl w:val="0"/>
          <w:numId w:val="0"/>
        </w:numPr>
        <w:ind w:left="180" w:hanging="180"/>
      </w:pPr>
      <w:bookmarkStart w:id="165"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5"/>
    </w:p>
    <w:p>
      <w:pPr>
        <w:pStyle w:val="MDPI81references"/>
        <w:numPr>
          <w:ilvl w:val="0"/>
          <w:numId w:val="0"/>
        </w:numPr>
        <w:ind w:left="180" w:hanging="180"/>
      </w:pPr>
      <w:bookmarkStart w:id="166"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6"/>
    </w:p>
    <w:p>
      <w:pPr>
        <w:pStyle w:val="MDPI81references"/>
        <w:numPr>
          <w:ilvl w:val="0"/>
          <w:numId w:val="0"/>
        </w:numPr>
        <w:ind w:left="180" w:hanging="180"/>
      </w:pPr>
      <w:bookmarkStart w:id="167"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7"/>
    </w:p>
    <w:p>
      <w:pPr>
        <w:pStyle w:val="MDPI81references"/>
        <w:numPr>
          <w:ilvl w:val="0"/>
          <w:numId w:val="0"/>
        </w:numPr>
        <w:ind w:left="180" w:hanging="180"/>
      </w:pPr>
      <w:bookmarkStart w:id="168"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8"/>
    </w:p>
    <w:p>
      <w:pPr>
        <w:pStyle w:val="MDPI81references"/>
        <w:numPr>
          <w:ilvl w:val="0"/>
          <w:numId w:val="0"/>
        </w:numPr>
        <w:ind w:left="180" w:hanging="180"/>
      </w:pPr>
      <w:bookmarkStart w:id="169"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69"/>
    </w:p>
    <w:p>
      <w:pPr>
        <w:pStyle w:val="MDPI81references"/>
        <w:numPr>
          <w:ilvl w:val="0"/>
          <w:numId w:val="0"/>
        </w:numPr>
        <w:ind w:left="180" w:hanging="180"/>
      </w:pPr>
      <w:bookmarkStart w:id="170"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0"/>
    </w:p>
    <w:p>
      <w:pPr>
        <w:pStyle w:val="MDPI81references"/>
        <w:numPr>
          <w:ilvl w:val="0"/>
          <w:numId w:val="0"/>
        </w:numPr>
        <w:ind w:left="180" w:hanging="180"/>
      </w:pPr>
      <w:bookmarkStart w:id="171"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1"/>
    </w:p>
    <w:p>
      <w:pPr>
        <w:pStyle w:val="MDPI81references"/>
        <w:numPr>
          <w:ilvl w:val="0"/>
          <w:numId w:val="0"/>
        </w:numPr>
        <w:ind w:left="180" w:hanging="180"/>
      </w:pPr>
      <w:bookmarkStart w:id="17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2"/>
    </w:p>
    <w:p>
      <w:pPr>
        <w:pStyle w:val="MDPI81references"/>
        <w:numPr>
          <w:ilvl w:val="0"/>
          <w:numId w:val="0"/>
        </w:numPr>
        <w:ind w:left="180" w:hanging="180"/>
      </w:pPr>
      <w:bookmarkStart w:id="173"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3"/>
    </w:p>
    <w:p>
      <w:pPr>
        <w:pStyle w:val="MDPI81references"/>
        <w:numPr>
          <w:ilvl w:val="0"/>
          <w:numId w:val="0"/>
        </w:numPr>
        <w:ind w:left="180" w:hanging="180"/>
      </w:pPr>
      <w:bookmarkStart w:id="174"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4"/>
    </w:p>
    <w:p>
      <w:pPr>
        <w:pStyle w:val="MDPI81references"/>
        <w:numPr>
          <w:ilvl w:val="0"/>
          <w:numId w:val="0"/>
        </w:numPr>
        <w:ind w:left="180" w:hanging="180"/>
      </w:pPr>
      <w:bookmarkStart w:id="175"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5"/>
    </w:p>
    <w:p>
      <w:pPr>
        <w:pStyle w:val="MDPI81references"/>
        <w:numPr>
          <w:ilvl w:val="0"/>
          <w:numId w:val="0"/>
        </w:numPr>
        <w:ind w:left="180" w:hanging="180"/>
      </w:pPr>
      <w:bookmarkStart w:id="176"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6"/>
    </w:p>
    <w:p>
      <w:pPr>
        <w:pStyle w:val="MDPI81references"/>
        <w:numPr>
          <w:ilvl w:val="0"/>
          <w:numId w:val="0"/>
        </w:numPr>
        <w:ind w:left="180" w:hanging="180"/>
      </w:pPr>
      <w:bookmarkStart w:id="177"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7"/>
    </w:p>
    <w:p>
      <w:pPr>
        <w:pStyle w:val="MDPI81references"/>
        <w:numPr>
          <w:ilvl w:val="0"/>
          <w:numId w:val="0"/>
        </w:numPr>
        <w:ind w:left="180" w:hanging="180"/>
      </w:pPr>
      <w:bookmarkStart w:id="178"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78"/>
    </w:p>
    <w:p>
      <w:pPr>
        <w:pStyle w:val="MDPI81references"/>
        <w:numPr>
          <w:ilvl w:val="0"/>
          <w:numId w:val="0"/>
        </w:numPr>
        <w:ind w:left="180" w:hanging="180"/>
      </w:pPr>
      <w:bookmarkStart w:id="179" w:name="ref-klapotke2017nitrogen"/>
      <w:r>
        <w:t xml:space="preserve">Klapötke, T. M.</w:t>
      </w:r>
      <w:r>
        <w:t xml:space="preserve"> </w:t>
      </w:r>
      <w:r>
        <w:rPr>
          <w:i/>
          <w:iCs/>
        </w:rPr>
        <w:t xml:space="preserve">Chemistry of High-Energy Materials</w:t>
      </w:r>
      <w:r>
        <w:t xml:space="preserve">, 5th ed. (de Gruyter, 2019). doi:10.1515/9783110624571.</w:t>
      </w:r>
      <w:bookmarkEnd w:id="179"/>
    </w:p>
    <w:p>
      <w:pPr>
        <w:pStyle w:val="MDPI81references"/>
        <w:numPr>
          <w:ilvl w:val="0"/>
          <w:numId w:val="0"/>
        </w:numPr>
        <w:ind w:left="180" w:hanging="180"/>
      </w:pPr>
      <w:bookmarkStart w:id="180"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0"/>
    </w:p>
    <w:p>
      <w:pPr>
        <w:pStyle w:val="MDPI81references"/>
        <w:numPr>
          <w:ilvl w:val="0"/>
          <w:numId w:val="0"/>
        </w:numPr>
        <w:ind w:left="180" w:hanging="180"/>
      </w:pPr>
      <w:bookmarkStart w:id="181"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1"/>
    </w:p>
    <w:p>
      <w:pPr>
        <w:pStyle w:val="MDPI81references"/>
        <w:numPr>
          <w:ilvl w:val="0"/>
          <w:numId w:val="0"/>
        </w:numPr>
        <w:ind w:left="180" w:hanging="180"/>
      </w:pPr>
      <w:bookmarkStart w:id="182"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2"/>
    </w:p>
    <w:p>
      <w:pPr>
        <w:pStyle w:val="MDPI81references"/>
        <w:numPr>
          <w:ilvl w:val="0"/>
          <w:numId w:val="0"/>
        </w:numPr>
        <w:ind w:left="180" w:hanging="180"/>
      </w:pPr>
      <w:bookmarkStart w:id="183"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3"/>
    </w:p>
    <w:p>
      <w:pPr>
        <w:pStyle w:val="MDPI81references"/>
        <w:numPr>
          <w:ilvl w:val="0"/>
          <w:numId w:val="0"/>
        </w:numPr>
        <w:ind w:left="180" w:hanging="180"/>
      </w:pPr>
      <w:bookmarkStart w:id="184"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4"/>
    </w:p>
    <w:p>
      <w:pPr>
        <w:pStyle w:val="MDPI81references"/>
        <w:numPr>
          <w:ilvl w:val="0"/>
          <w:numId w:val="0"/>
        </w:numPr>
        <w:ind w:left="180" w:hanging="180"/>
      </w:pPr>
      <w:bookmarkStart w:id="185"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5"/>
    </w:p>
    <w:p>
      <w:pPr>
        <w:pStyle w:val="MDPI81references"/>
        <w:numPr>
          <w:ilvl w:val="0"/>
          <w:numId w:val="0"/>
        </w:numPr>
        <w:ind w:left="180" w:hanging="180"/>
      </w:pPr>
      <w:bookmarkStart w:id="186"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6"/>
    </w:p>
    <w:p>
      <w:pPr>
        <w:pStyle w:val="MDPI81references"/>
        <w:numPr>
          <w:ilvl w:val="0"/>
          <w:numId w:val="0"/>
        </w:numPr>
        <w:ind w:left="180" w:hanging="180"/>
      </w:pPr>
      <w:bookmarkStart w:id="187"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7"/>
    </w:p>
    <w:p>
      <w:pPr>
        <w:pStyle w:val="MDPI81references"/>
        <w:numPr>
          <w:ilvl w:val="0"/>
          <w:numId w:val="0"/>
        </w:numPr>
        <w:ind w:left="180" w:hanging="180"/>
      </w:pPr>
      <w:bookmarkStart w:id="188" w:name="ref-reymond2015gdb"/>
      <w:r>
        <w:t xml:space="preserve">Reymond, J.-L. (2015). The chemical space project.</w:t>
      </w:r>
      <w:r>
        <w:t xml:space="preserve"> </w:t>
      </w:r>
      <w:r>
        <w:rPr>
          <w:i/>
          <w:iCs/>
        </w:rPr>
        <w:t xml:space="preserve">Acc. Chem. Res. 48(3)</w:t>
      </w:r>
      <w:r>
        <w:t xml:space="preserve">:722–730.</w:t>
      </w:r>
      <w:bookmarkEnd w:id="188"/>
    </w:p>
    <w:p>
      <w:pPr>
        <w:pStyle w:val="MDPI81references"/>
        <w:numPr>
          <w:ilvl w:val="0"/>
          <w:numId w:val="0"/>
        </w:numPr>
        <w:ind w:left="180" w:hanging="180"/>
      </w:pPr>
      <w:bookmarkStart w:id="18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89"/>
    </w:p>
    <w:p>
      <w:pPr>
        <w:pStyle w:val="MDPI81references"/>
        <w:numPr>
          <w:ilvl w:val="0"/>
          <w:numId w:val="0"/>
        </w:numPr>
        <w:ind w:left="180" w:hanging="180"/>
      </w:pPr>
      <w:bookmarkStart w:id="19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0"/>
    </w:p>
    <w:p>
      <w:pPr>
        <w:pStyle w:val="MDPI81references"/>
        <w:numPr>
          <w:ilvl w:val="0"/>
          <w:numId w:val="0"/>
        </w:numPr>
        <w:ind w:left="180" w:hanging="180"/>
      </w:pPr>
      <w:bookmarkStart w:id="191" w:name="ref-rogers1960computer"/>
      <w:r>
        <w:t xml:space="preserve">Rogers, D. J., &amp; Tanimoto, T. T. (1960). A Computer Program for Classifying Plants.</w:t>
      </w:r>
      <w:r>
        <w:t xml:space="preserve"> </w:t>
      </w:r>
      <w:r>
        <w:rPr>
          <w:i/>
          <w:iCs/>
        </w:rPr>
        <w:t xml:space="preserve">Science 132(3434)</w:t>
      </w:r>
      <w:r>
        <w:t xml:space="preserve">:1115–1118.</w:t>
      </w:r>
      <w:bookmarkEnd w:id="191"/>
    </w:p>
    <w:p>
      <w:pPr>
        <w:pStyle w:val="MDPI81references"/>
        <w:numPr>
          <w:ilvl w:val="0"/>
          <w:numId w:val="0"/>
        </w:numPr>
        <w:ind w:left="180" w:hanging="180"/>
      </w:pPr>
      <w:bookmarkStart w:id="192"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2"/>
    </w:p>
    <w:p>
      <w:pPr>
        <w:pStyle w:val="MDPI81references"/>
        <w:numPr>
          <w:ilvl w:val="0"/>
          <w:numId w:val="0"/>
        </w:numPr>
        <w:ind w:left="180" w:hanging="180"/>
      </w:pPr>
      <w:bookmarkStart w:id="193"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3"/>
    </w:p>
    <w:p>
      <w:pPr>
        <w:pStyle w:val="MDPI81references"/>
        <w:numPr>
          <w:ilvl w:val="0"/>
          <w:numId w:val="0"/>
        </w:numPr>
        <w:ind w:left="180" w:hanging="180"/>
      </w:pPr>
      <w:bookmarkStart w:id="194"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4"/>
    </w:p>
    <w:p>
      <w:pPr>
        <w:pStyle w:val="MDPI81references"/>
        <w:numPr>
          <w:ilvl w:val="0"/>
          <w:numId w:val="0"/>
        </w:numPr>
        <w:ind w:left="180" w:hanging="180"/>
      </w:pPr>
      <w:bookmarkStart w:id="195"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5"/>
    </w:p>
    <w:p>
      <w:pPr>
        <w:pStyle w:val="MDPI81references"/>
        <w:numPr>
          <w:ilvl w:val="0"/>
          <w:numId w:val="0"/>
        </w:numPr>
        <w:ind w:left="180" w:hanging="180"/>
      </w:pPr>
      <w:bookmarkStart w:id="196"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6"/>
    </w:p>
    <w:p>
      <w:pPr>
        <w:pStyle w:val="MDPI81references"/>
        <w:numPr>
          <w:ilvl w:val="0"/>
          <w:numId w:val="0"/>
        </w:numPr>
        <w:ind w:left="180" w:hanging="180"/>
      </w:pPr>
      <w:bookmarkStart w:id="197"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97"/>
    </w:p>
    <w:p>
      <w:pPr>
        <w:pStyle w:val="MDPI81references"/>
        <w:numPr>
          <w:ilvl w:val="0"/>
          <w:numId w:val="0"/>
        </w:numPr>
        <w:ind w:left="180" w:hanging="180"/>
      </w:pPr>
      <w:bookmarkStart w:id="19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98"/>
    </w:p>
    <w:p>
      <w:pPr>
        <w:pStyle w:val="MDPI81references"/>
        <w:numPr>
          <w:ilvl w:val="0"/>
          <w:numId w:val="0"/>
        </w:numPr>
        <w:ind w:left="180" w:hanging="180"/>
      </w:pPr>
      <w:bookmarkStart w:id="199" w:name="ref-kim2023pubchem"/>
      <w:r>
        <w:t xml:space="preserve">Kim, S. et al. (2023). PubChem 2023 Update.</w:t>
      </w:r>
      <w:r>
        <w:t xml:space="preserve"> </w:t>
      </w:r>
      <w:r>
        <w:rPr>
          <w:i/>
          <w:iCs/>
        </w:rPr>
        <w:t xml:space="preserve">Nucleic Acids Res. 51(D1)</w:t>
      </w:r>
      <w:r>
        <w:t xml:space="preserve">:D1373–D1380.</w:t>
      </w:r>
      <w:bookmarkEnd w:id="199"/>
    </w:p>
    <w:p>
      <w:pPr>
        <w:pStyle w:val="MDPI81references"/>
        <w:numPr>
          <w:ilvl w:val="0"/>
          <w:numId w:val="0"/>
        </w:numPr>
        <w:ind w:left="180" w:hanging="180"/>
      </w:pPr>
      <w:bookmarkStart w:id="201"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1"/>
    </w:p>
    <w:p>
      <w:pPr>
        <w:pStyle w:val="MDPI81references"/>
        <w:numPr>
          <w:ilvl w:val="0"/>
          <w:numId w:val="0"/>
        </w:numPr>
        <w:ind w:left="180" w:hanging="180"/>
      </w:pPr>
      <w:bookmarkStart w:id="203"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w:t>
      </w:r>
      <w:bookmarkEnd w:id="203"/>
    </w:p>
    <w:p>
      <w:pPr>
        <w:pStyle w:val="MDPI81references"/>
        <w:numPr>
          <w:ilvl w:val="0"/>
          <w:numId w:val="0"/>
        </w:numPr>
        <w:ind w:left="180" w:hanging="180"/>
      </w:pPr>
      <w:bookmarkStart w:id="20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the Supplementary Information.</w:t>
      </w:r>
      <w:bookmarkEnd w:id="204"/>
    </w:p>
    <w:p>
      <w:pPr>
        <w:pStyle w:val="MDPI81references"/>
        <w:numPr>
          <w:ilvl w:val="0"/>
          <w:numId w:val="0"/>
        </w:numPr>
        <w:ind w:left="180" w:hanging="180"/>
      </w:pPr>
      <w:bookmarkStart w:id="205" w:name="ref-sterling2015zinc"/>
      <w:r>
        <w:t xml:space="preserve">Sterling, T., &amp; Irwin, J. J. (2015). ZINC 15: Ligand Discovery for Everyone.</w:t>
      </w:r>
      <w:r>
        <w:t xml:space="preserve"> </w:t>
      </w:r>
      <w:r>
        <w:rPr>
          <w:i/>
          <w:iCs/>
        </w:rPr>
        <w:t xml:space="preserve">J. Chem. Inf. Model. 55(11)</w:t>
      </w:r>
      <w:r>
        <w:t xml:space="preserve">:2324–2337.</w:t>
      </w:r>
      <w:bookmarkEnd w:id="205"/>
    </w:p>
    <w:p>
      <w:pPr>
        <w:pStyle w:val="MDPI81references"/>
        <w:numPr>
          <w:ilvl w:val="0"/>
          <w:numId w:val="0"/>
        </w:numPr>
        <w:ind w:left="180" w:hanging="180"/>
      </w:pPr>
      <w:bookmarkStart w:id="207" w:name="ref-cameo"/>
      <w:r>
        <w:t xml:space="preserve">NIST CAMEO Chemicals: Database of Hazardous Materials and Reactivity.</w:t>
      </w:r>
      <w:r>
        <w:t xml:space="preserve"> </w:t>
      </w:r>
      <w:hyperlink r:id="rId44">
        <w:r>
          <w:rPr>
            <w:rStyle w:val="Hyperlink"/>
          </w:rPr>
          <w:t xml:space="preserve">cameochemicals.noaa.gov</w:t>
        </w:r>
      </w:hyperlink>
      <w:r>
        <w:t xml:space="preserve">.</w:t>
      </w:r>
      <w:bookmarkEnd w:id="207"/>
    </w:p>
    <w:p>
      <w:pPr>
        <w:pStyle w:val="MDPI81references"/>
        <w:numPr>
          <w:ilvl w:val="0"/>
          <w:numId w:val="0"/>
        </w:numPr>
        <w:ind w:left="180" w:hanging="180"/>
      </w:pPr>
      <w:bookmarkStart w:id="208"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8"/>
    </w:p>
    <w:p>
      <w:pPr>
        <w:pStyle w:val="MDPI81references"/>
        <w:numPr>
          <w:ilvl w:val="0"/>
          <w:numId w:val="0"/>
        </w:numPr>
        <w:ind w:left="180" w:hanging="180"/>
      </w:pPr>
      <w:bookmarkStart w:id="209" w:name="ref-bondi1964vdw"/>
      <w:r>
        <w:t xml:space="preserve">Bondi, A. (1964). van der Waals Volumes and Radii.</w:t>
      </w:r>
      <w:r>
        <w:t xml:space="preserve"> </w:t>
      </w:r>
      <w:r>
        <w:rPr>
          <w:i/>
          <w:iCs/>
        </w:rPr>
        <w:t xml:space="preserve">J. Phys. Chem. 68(3)</w:t>
      </w:r>
      <w:r>
        <w:t xml:space="preserve">:441–451. doi:10.1021/j100785a001.</w:t>
      </w:r>
      <w:bookmarkEnd w:id="209"/>
    </w:p>
    <w:p>
      <w:pPr>
        <w:pStyle w:val="MDPI81references"/>
        <w:numPr>
          <w:ilvl w:val="0"/>
          <w:numId w:val="0"/>
        </w:numPr>
        <w:ind w:left="180" w:hanging="180"/>
      </w:pPr>
      <w:bookmarkStart w:id="21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0"/>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superseded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5">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6">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cameochemicals.noaa.gov" TargetMode="External"/><Relationship Id="rId45" Type="http://schemas.openxmlformats.org/officeDocument/2006/relationships/hyperlink" Target="https://doi.org/10.5281/zenodo.19821952" TargetMode="External"/><Relationship Id="rId46"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