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Designing high-energy-density materials is data-limited: of ~66,000 CHNO molecules with reported detonation properties, only ~3,000 carry trustworthy experimental or DFT values, so models memorise the high-performance tail or extrapolate uncalibrated. We introduce Domain-Gated Latent Diffusion (DGLD) , coupling generative design to first-principles validation. A four-tier label-trust gate routes only high-quality labels into the conditional gradient while noisy labels train the unconditional prior; a score model adds switchable steering over viability, sensitivity, and hazard; and a four-stage funnel (SMARTS filter, Pareto reranker, GFN2-xTB triage, two-level DFT) validates every candidate. DGLD yields 10 unique DFT-confirmed leads, novel against PubChem; the headline compound, 3,4,5-trinitro-1,2-isoxazole, reaches a calibrated density of 2.09 g cm −3 and a Kamlet–Jacobs detonation velocity of 8.25 km s −1 , and is distinct from all 65,980 training molecules (Tanimoto 0.27). On the same recipe the HMX and PETN anchors calibrate to 7.52 and 8.24 km s −1 , ranking it with the strongest anchors. Against four baselines on the same corpus, DGLD is the only method to deliver novel candidates that remain on-target under DFT audit; the sole baseline whose top candidate was carried to DFT collapsed from 9.73 to 6.28 km s −1 under first-principles scoring. The label-trust gate is domain-agnostic, transferring to any inverse-design task with abundant weak and scarce trustworthy labels; code, model checkpoints, and 918 mined hard negatives are released openly under a permanent DOI.</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[5]</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The unguided sampler additionally recovered the known oxatriazole E1 (above); the extension set spans eight Bemis–Murcko scaffolds across seven chemotype families, of which E1, E6, and E9 are known compounds.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[6]</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[7]</w:t>
        </w:r>
      </w:hyperlink>
      <w:r>
        <w:t xml:space="preserve"> </w:t>
      </w:r>
      <w:r>
        <w:t xml:space="preserve">moved the latent up to fragment graphs to guarantee chemical validity; CDDD</w:t>
      </w:r>
      <w:r>
        <w:t xml:space="preserve"> </w:t>
      </w:r>
      <w:hyperlink w:anchor="ref-winter2019cddd">
        <w:r>
          <w:rPr>
            <w:rStyle w:val="Hyperlink"/>
          </w:rPr>
          <w:t xml:space="preserve">[8]</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[9]</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[10]</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[11]</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[12]</w:t>
        </w:r>
      </w:hyperlink>
      <w:r>
        <w:t xml:space="preserve"> </w:t>
      </w:r>
      <w:r>
        <w:t xml:space="preserve">trains a Perceiver-encoder</w:t>
      </w:r>
      <w:r>
        <w:t xml:space="preserve"> </w:t>
      </w:r>
      <w:hyperlink w:anchor="ref-jaegle2021perceiver">
        <w:r>
          <w:rPr>
            <w:rStyle w:val="Hyperlink"/>
          </w:rPr>
          <w:t xml:space="preserve">[13]</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[14]</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[15]</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[16]</w:t>
        </w:r>
      </w:hyperlink>
      <w:r>
        <w:t xml:space="preserve"> </w:t>
      </w:r>
      <w:r>
        <w:t xml:space="preserve">combined an RNN prior with Monte-Carlo tree search; MolGPT</w:t>
      </w:r>
      <w:r>
        <w:t xml:space="preserve"> </w:t>
      </w:r>
      <w:hyperlink w:anchor="ref-bagal2022molgpt">
        <w:r>
          <w:rPr>
            <w:rStyle w:val="Hyperlink"/>
          </w:rPr>
          <w:t xml:space="preserve">[17]</w:t>
        </w:r>
      </w:hyperlink>
      <w:r>
        <w:t xml:space="preserve"> </w:t>
      </w:r>
      <w:r>
        <w:t xml:space="preserve">applied a GPT-style decoder with property tokens prepended for control. MoLFormer-XL</w:t>
      </w:r>
      <w:r>
        <w:t xml:space="preserve"> </w:t>
      </w:r>
      <w:hyperlink w:anchor="ref-ross2022molformer">
        <w:r>
          <w:rPr>
            <w:rStyle w:val="Hyperlink"/>
          </w:rPr>
          <w:t xml:space="preserve">[18]</w:t>
        </w:r>
      </w:hyperlink>
      <w:r>
        <w:t xml:space="preserve"> </w:t>
      </w:r>
      <w:r>
        <w:t xml:space="preserve">and Chemformer</w:t>
      </w:r>
      <w:r>
        <w:t xml:space="preserve"> </w:t>
      </w:r>
      <w:hyperlink w:anchor="ref-irwin2022chemformer">
        <w:r>
          <w:rPr>
            <w:rStyle w:val="Hyperlink"/>
          </w:rPr>
          <w:t xml:space="preserve">[19]</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[20]</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[21]</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[22]</w:t>
        </w:r>
      </w:hyperlink>
      <w:r>
        <w:t xml:space="preserve"> </w:t>
      </w:r>
      <w:r>
        <w:t xml:space="preserve">and the score-based formulation of Song and Ermon</w:t>
      </w:r>
      <w:r>
        <w:t xml:space="preserve"> </w:t>
      </w:r>
      <w:hyperlink w:anchor="ref-song2019score">
        <w:r>
          <w:rPr>
            <w:rStyle w:val="Hyperlink"/>
          </w:rPr>
          <w:t xml:space="preserve">[23]</w:t>
        </w:r>
      </w:hyperlink>
      <w:r>
        <w:t xml:space="preserve">, later unified through a stochastic-differential-equation perspective</w:t>
      </w:r>
      <w:r>
        <w:t xml:space="preserve"> </w:t>
      </w:r>
      <w:hyperlink w:anchor="ref-song2021sde">
        <w:r>
          <w:rPr>
            <w:rStyle w:val="Hyperlink"/>
          </w:rPr>
          <w:t xml:space="preserve">[24]</w:t>
        </w:r>
      </w:hyperlink>
      <w:r>
        <w:t xml:space="preserve">, define the generative-modelling family that DGLD builds on. Latent diffusion</w:t>
      </w:r>
      <w:r>
        <w:t xml:space="preserve"> </w:t>
      </w:r>
      <w:hyperlink w:anchor="ref-rombach2022ldm">
        <w:r>
          <w:rPr>
            <w:rStyle w:val="Hyperlink"/>
          </w:rPr>
          <w:t xml:space="preserve">[25]</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[26]</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[27]</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[28]</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[29]</w:t>
        </w:r>
      </w:hyperlink>
      <w:r>
        <w:t xml:space="preserve"> </w:t>
      </w:r>
      <w:r>
        <w:t xml:space="preserve">and TargetDiff</w:t>
      </w:r>
      <w:r>
        <w:t xml:space="preserve"> </w:t>
      </w:r>
      <w:hyperlink w:anchor="ref-guan2023targetdiff">
        <w:r>
          <w:rPr>
            <w:rStyle w:val="Hyperlink"/>
          </w:rPr>
          <w:t xml:space="preserve">[30]</w:t>
        </w:r>
      </w:hyperlink>
      <w:r>
        <w:t xml:space="preserve"> </w:t>
      </w:r>
      <w:r>
        <w:t xml:space="preserve">condition the diffusion process on a 3D protein pocket; Pocket2Mol</w:t>
      </w:r>
      <w:r>
        <w:t xml:space="preserve"> </w:t>
      </w:r>
      <w:hyperlink w:anchor="ref-peng2022pocket2mol">
        <w:r>
          <w:rPr>
            <w:rStyle w:val="Hyperlink"/>
          </w:rPr>
          <w:t xml:space="preserve">[31]</w:t>
        </w:r>
      </w:hyperlink>
      <w:r>
        <w:t xml:space="preserve"> </w:t>
      </w:r>
      <w:r>
        <w:t xml:space="preserve">samples atoms autoregressively inside the pocket; DiffDock</w:t>
      </w:r>
      <w:r>
        <w:t xml:space="preserve"> </w:t>
      </w:r>
      <w:hyperlink w:anchor="ref-corso2023diffdock">
        <w:r>
          <w:rPr>
            <w:rStyle w:val="Hyperlink"/>
          </w:rPr>
          <w:t xml:space="preserve">[32]</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[33]</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[34]</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[35]</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[36]</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[38]</w:t>
        </w:r>
      </w:hyperlink>
      <w:r>
        <w:t xml:space="preserve"> </w:t>
      </w:r>
      <w:r>
        <w:t xml:space="preserve">and Cheetah</w:t>
      </w:r>
      <w:r>
        <w:t xml:space="preserve"> </w:t>
      </w:r>
      <w:hyperlink w:anchor="ref-fried2014cheetah">
        <w:r>
          <w:rPr>
            <w:rStyle w:val="Hyperlink"/>
          </w:rPr>
          <w:t xml:space="preserve">[39]</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[40]</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[41]</w:t>
        </w:r>
      </w:hyperlink>
      <w:r>
        <w:t xml:space="preserve">) are complementary to our gas-phase Bondi-vdW</w:t>
      </w:r>
      <w:r>
        <w:t xml:space="preserve"> </w:t>
      </w:r>
      <w:hyperlink w:anchor="ref-bondi1964vdw">
        <w:r>
          <w:rPr>
            <w:rStyle w:val="Hyperlink"/>
          </w:rPr>
          <w:t xml:space="preserve">[42]</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[43]</w:t>
        </w:r>
      </w:hyperlink>
      <w:r>
        <w:t xml:space="preserve"> </w:t>
      </w:r>
      <w:r>
        <w:t xml:space="preserve">trained an early neural network on impact-sensitivity data; Mathieu</w:t>
      </w:r>
      <w:r>
        <w:t xml:space="preserve"> </w:t>
      </w:r>
      <w:hyperlink w:anchor="ref-mathieu2017sensitivity">
        <w:r>
          <w:rPr>
            <w:rStyle w:val="Hyperlink"/>
          </w:rPr>
          <w:t xml:space="preserve">[37]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[44]</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[45]</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[46]</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[44]</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[47]</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[48]</w:t>
        </w:r>
      </w:hyperlink>
      <w:r>
        <w:t xml:space="preserve"> </w:t>
      </w:r>
      <w:r>
        <w:t xml:space="preserve">remains a strong message-passing-graph default; SchNet</w:t>
      </w:r>
      <w:r>
        <w:t xml:space="preserve"> </w:t>
      </w:r>
      <w:hyperlink w:anchor="ref-schutt2018schnet">
        <w:r>
          <w:rPr>
            <w:rStyle w:val="Hyperlink"/>
          </w:rPr>
          <w:t xml:space="preserve">[49]</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[50]</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[51]</w:t>
        </w:r>
      </w:hyperlink>
      <w:r>
        <w:t xml:space="preserve"> </w:t>
      </w:r>
      <w:r>
        <w:t xml:space="preserve">and GuacaMol</w:t>
      </w:r>
      <w:r>
        <w:t xml:space="preserve"> </w:t>
      </w:r>
      <w:hyperlink w:anchor="ref-brown2019guacamol">
        <w:r>
          <w:rPr>
            <w:rStyle w:val="Hyperlink"/>
          </w:rPr>
          <w:t xml:space="preserve">[52]</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[53]</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[54]</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[55]</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[56]</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[57]</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[58]</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[59]</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[60]</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[61]</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[62]</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eleven chem-pass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Eleven DGLD lead cards in a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Eleven chem-pass DGLD leads (L1, L3, L4, L5, L9, L11, L13, L16, L18, L19, L20). Each card shows the RDKit 2D depiction, chemotype label, molecular formula, and 6-anchor-calibrated DFT/Kamlet–Jacobs values (</w:t>
      </w:r>
      <m:oMath>
        <m:r>
          <m:t>ρ</m:t>
        </m:r>
      </m:oMath>
      <w:r>
        <w:t xml:space="preserve">,</w:t>
      </w:r>
      <w:r>
        <w:t xml:space="preserve"> </w:t>
      </w:r>
      <m:oMath>
        <m:r>
          <m:t>D</m:t>
        </m:r>
      </m:oMath>
      <w:r>
        <w:t xml:space="preserve">,</w:t>
      </w:r>
      <w:r>
        <w:t xml:space="preserve"> </w:t>
      </w:r>
      <m:oMath>
        <m:r>
          <m:t>P</m:t>
        </m:r>
      </m:oMath>
      <w:r>
        <w:t xml:space="preserve">, HOF). The status bar reports the four validation gates: SMARTS pass, Pareto rank (“Pareto –” for L20, added from the pool=80k extension set and not assigned a top-100 rank), xTB HOMO–LUMO status, and DFT. Border and fill colour encode electronic stability: blue = xTB gap</w:t>
      </w:r>
      <w:r>
        <w:t xml:space="preserve"> </w:t>
      </w:r>
      <m:oMath>
        <m:r>
          <m:rPr>
            <m:sty m:val="p"/>
          </m:rPr>
          <m:t>≥</m:t>
        </m:r>
        <m:r>
          <m:t>1.5</m:t>
        </m:r>
      </m:oMath>
      <w:r>
        <w:t xml:space="preserve"> eV (pass); orange = gap</w:t>
      </w:r>
      <w:r>
        <w:t xml:space="preserve"> </w:t>
      </w:r>
      <m:oMath>
        <m:r>
          <m:rPr>
            <m:sty m:val="p"/>
          </m:rPr>
          <m:t>&lt;</m:t>
        </m:r>
        <m:r>
          <m:t>1.5</m:t>
        </m:r>
      </m:oMath>
      <w:r>
        <w:t xml:space="preserve"> eV (fail, L3/L16). The bottom-right marker is a filled circle (DFT-converged minimum) or a triangle (xTB-gap fail, L3/L16); the top-right asterisk marks a DFT-confirmed real minimum (any “graph altered” label in the status bar is a zwitterionic-nitro canonical-SMILES round-trip artefact, not a real change).</w:t>
      </w:r>
    </w:p>
    <w:p>
      <w:pPr>
        <w:pStyle w:val="MDPI31text"/>
        <w:ind w:left="2608"/>
      </w:pPr>
      <w:r>
        <w:t xml:space="preserve">The top leads (Figure 3,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gaming molecule (a surrogate-gaming false positive: high predicted score, physically implausible)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literature-scale HMX target of</w:t>
      </w:r>
      <w:r>
        <w:t xml:space="preserve"> </w:t>
      </w:r>
      <m:oMath>
        <m:r>
          <m:t>D</m:t>
        </m:r>
        <m:r>
          <m:rPr>
            <m:sty m:val="p"/>
          </m:rPr>
          <m:t>=</m:t>
        </m:r>
        <m:r>
          <m:t>9.0</m:t>
        </m:r>
      </m:oMath>
      <w:r>
        <w:t xml:space="preserve"> km s</w:t>
      </w:r>
      <w:r>
        <w:rPr>
          <w:vertAlign w:val="superscript"/>
        </w:rPr>
        <w:t xml:space="preserve">−1</w:t>
      </w:r>
      <w:r>
        <w:t xml:space="preserve"> </w:t>
      </w:r>
      <w:r>
        <w:t xml:space="preserve">(the 6-anchor-calibrated HMX anchor is 7.52 km s</w:t>
      </w:r>
      <w:r>
        <w:rPr>
          <w:vertAlign w:val="superscript"/>
        </w:rPr>
        <w:t xml:space="preserve">−1</w:t>
      </w:r>
      <w:r>
        <w:t xml:space="preserve">, Section 2.3, so L1's calibrated 8.25 sits below it). Right: per-lead residual vs N-fraction with linear fit (Pearson</w:t>
      </w:r>
      <w:r>
        <w:t xml:space="preserve"> </w:t>
      </w:r>
      <m:oMath>
        <m:r>
          <m:t>r</m:t>
        </m:r>
        <m:r>
          <m:rPr>
            <m:sty m:val="p"/>
          </m:rPr>
          <m:t>=</m:t>
        </m:r>
        <m:r>
          <m:t>0.20</m:t>
        </m:r>
      </m:oMath>
      <w:r>
        <w:t xml:space="preserve"> </w:t>
      </w:r>
      <w:r>
        <w:t xml:space="preserve">across the leads and reference compounds shown); the panel title reports the global 575-row Tier-A correlation (</w:t>
      </w:r>
      <m:oMath>
        <m:r>
          <m:t>r</m:t>
        </m:r>
        <m:r>
          <m:rPr>
            <m:sty m:val="p"/>
          </m:rPr>
          <m:t>=</m:t>
        </m:r>
        <m:r>
          <m:t>0.43</m:t>
        </m:r>
      </m:oMath>
      <w:r>
        <w:t xml:space="preserv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6">
        <w:r>
          <w:rPr>
            <w:rStyle w:val="Hyperlink"/>
          </w:rPr>
          <w:t xml:space="preserve">[63]</w:t>
        </w:r>
      </w:hyperlink>
      <w:hyperlink w:anchor="ref-konnov2025nitroisoxazole">
        <w:r>
          <w:rPr>
            <w:rStyle w:val="Hyperlink"/>
          </w:rPr>
          <w:t xml:space="preserve">[64]</w:t>
        </w:r>
      </w:hyperlink>
      <w:r>
        <w:t xml:space="preserve">); the isomeric 3,4,5-trinitro-1</w:t>
      </w:r>
      <w:r>
        <w:rPr>
          <w:i/>
          <w:iCs/>
        </w:rPr>
        <w:t xml:space="preserve">H</w:t>
      </w:r>
      <w:r>
        <w:t xml:space="preserve">-pyrazole</w:t>
      </w:r>
      <w:r>
        <w:t xml:space="preserve"> </w:t>
      </w:r>
      <w:hyperlink w:anchor="ref-herve2010">
        <w:r>
          <w:rPr>
            <w:rStyle w:val="Hyperlink"/>
          </w:rPr>
          <w:t xml:space="preserve">[65]</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[66]</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3);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SMARTS gate passes; it is tabulated as reference R2 (Table S8), not a chem-pass lead, so the confirmed set is 11 leads (10 unique).</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[61]</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4).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 E1, E6, and E9 are known compounds (recovered, not novel; E1 PubChem CID 57438703, E6 CID 201040, E9 1H-tetrazole).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is the top-ranked novel lead, and the sampler's independent recovery of the known oxatriazole E1 shows its reach spans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11 DFT-confirmed lead cards (10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L3–L5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 L3–L5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0"/>
        <w:gridCol w:w="1806"/>
        <w:gridCol w:w="3532"/>
        <w:gridCol w:w="1030"/>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Stage-1+2 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Stage-1+2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pool 40k);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gaming molecule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Stage-1+2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top-ranked novel lead L1 (3,4,5-trinitro-1,2-isoxazole) and the independently recovered known oxatriazole E1 (4-nitro-1,2,3,5-oxatriazole, PubChem CID 57438703) come from disjoint chemotype families on a single sampling run, external evidence that DGLD’s scaffold reach spans multiple chemotype classes; the 10 novel L-set leads themselves cover several scaffolds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[67]</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[68]</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[69]</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[26]</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[44]</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[70]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surrogate-gaming false positives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gaming molecules) must show every anchor at</w:t>
      </w:r>
      <w:r>
        <w:t xml:space="preserve"> </w:t>
      </w:r>
      <m:oMath>
        <m:r>
          <m:rPr>
            <m:sty m:val="p"/>
          </m:rPr>
          <m:t>≥</m:t>
        </m:r>
      </m:oMath>
      <w:r>
        <w:t xml:space="preserve"> 0.86 AND every gaming molecule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[26]</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[56]</w:t>
        </w:r>
      </w:hyperlink>
      <w:r>
        <w:t xml:space="preserve"> </w:t>
      </w:r>
      <m:oMath>
        <m:r>
          <m:rPr>
            <m:sty m:val="p"/>
          </m:rPr>
          <m:t>≤</m:t>
        </m:r>
      </m:oMath>
      <w:r>
        <w:t xml:space="preserve"> 5.0 and SCScore</w:t>
      </w:r>
      <w:r>
        <w:t xml:space="preserve"> </w:t>
      </w:r>
      <w:hyperlink w:anchor="ref-coley2018scscore">
        <w:r>
          <w:rPr>
            <w:rStyle w:val="Hyperlink"/>
          </w:rPr>
          <w:t xml:space="preserve">[57]</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11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gaming molecule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gaming molecule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[22]</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On the same sampling run the sampler recovered the known oxatriazole E1 (Section 2.4), whose calibrated</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comes from a scaffold family disjoint from L1; its recovery validates the sampler's scaffold reach rather than adding a novel lead, and its calibrated D is an upper bound pending thermal stability confirmation and a 1,2,3,5-oxatriazole-class DFT anchor (Section 3).</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2">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3">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p>
      <w:pPr>
        <w:pStyle w:val="MDPI21heading1"/>
        <w:ind w:left="2608"/>
      </w:pPr>
      <w:r>
        <w:t xml:space="preserve">References</w:t>
      </w:r>
    </w:p>
    <w:p>
      <w:pPr>
        <w:pStyle w:val="MDPI81references"/>
        <w:numPr>
          <w:ilvl w:val="0"/>
          <w:numId w:val="0"/>
        </w:numPr>
        <w:ind w:left="180" w:hanging="180"/>
      </w:pPr>
      <w:bookmarkStart w:id="14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7"/>
    </w:p>
    <w:p>
      <w:pPr>
        <w:pStyle w:val="MDPI81references"/>
        <w:numPr>
          <w:ilvl w:val="0"/>
          <w:numId w:val="0"/>
        </w:numPr>
        <w:ind w:left="180" w:hanging="180"/>
      </w:pPr>
      <w:bookmarkStart w:id="14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8"/>
    </w:p>
    <w:p>
      <w:pPr>
        <w:pStyle w:val="MDPI81references"/>
        <w:numPr>
          <w:ilvl w:val="0"/>
          <w:numId w:val="0"/>
        </w:numPr>
        <w:ind w:left="180" w:hanging="180"/>
      </w:pPr>
      <w:bookmarkStart w:id="149" w:name="ref-zhou2023unimol"/>
      <w:r>
        <w:t xml:space="preserve">Zhou, G. et al. (2023). Uni-Mol: A Universal 3D Molecular Representation Learning Framework.</w:t>
      </w:r>
      <w:r>
        <w:t xml:space="preserve"> </w:t>
      </w:r>
      <w:r>
        <w:rPr>
          <w:i/>
          <w:iCs/>
        </w:rPr>
        <w:t xml:space="preserve">ICLR 2023</w:t>
      </w:r>
      <w:r>
        <w:t xml:space="preserve">.</w:t>
      </w:r>
      <w:bookmarkEnd w:id="149"/>
    </w:p>
    <w:p>
      <w:pPr>
        <w:pStyle w:val="MDPI81references"/>
        <w:numPr>
          <w:ilvl w:val="0"/>
          <w:numId w:val="0"/>
        </w:numPr>
        <w:ind w:left="180" w:hanging="180"/>
      </w:pPr>
      <w:bookmarkStart w:id="150" w:name="ref-ho2022cfg"/>
      <w:r>
        <w:t xml:space="preserve">Ho, J., &amp; Salimans, T. (2022). Classifier-Free Diffusion Guidance. arXiv:2207.12598.</w:t>
      </w:r>
      <w:bookmarkEnd w:id="150"/>
    </w:p>
    <w:p>
      <w:pPr>
        <w:pStyle w:val="MDPI81references"/>
        <w:numPr>
          <w:ilvl w:val="0"/>
          <w:numId w:val="0"/>
        </w:numPr>
        <w:ind w:left="180" w:hanging="180"/>
      </w:pPr>
      <w:bookmarkStart w:id="151"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151"/>
    </w:p>
    <w:p>
      <w:pPr>
        <w:pStyle w:val="MDPI81references"/>
        <w:numPr>
          <w:ilvl w:val="0"/>
          <w:numId w:val="0"/>
        </w:numPr>
        <w:ind w:left="180" w:hanging="180"/>
      </w:pPr>
      <w:bookmarkStart w:id="15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52"/>
    </w:p>
    <w:p>
      <w:pPr>
        <w:pStyle w:val="MDPI81references"/>
        <w:numPr>
          <w:ilvl w:val="0"/>
          <w:numId w:val="0"/>
        </w:numPr>
        <w:ind w:left="180" w:hanging="180"/>
      </w:pPr>
      <w:bookmarkStart w:id="15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53"/>
    </w:p>
    <w:p>
      <w:pPr>
        <w:pStyle w:val="MDPI81references"/>
        <w:numPr>
          <w:ilvl w:val="0"/>
          <w:numId w:val="0"/>
        </w:numPr>
        <w:ind w:left="180" w:hanging="180"/>
      </w:pPr>
      <w:bookmarkStart w:id="15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54"/>
    </w:p>
    <w:p>
      <w:pPr>
        <w:pStyle w:val="MDPI81references"/>
        <w:numPr>
          <w:ilvl w:val="0"/>
          <w:numId w:val="0"/>
        </w:numPr>
        <w:ind w:left="180" w:hanging="180"/>
      </w:pPr>
      <w:bookmarkStart w:id="15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55"/>
    </w:p>
    <w:p>
      <w:pPr>
        <w:pStyle w:val="MDPI81references"/>
        <w:numPr>
          <w:ilvl w:val="0"/>
          <w:numId w:val="0"/>
        </w:numPr>
        <w:ind w:left="180" w:hanging="180"/>
      </w:pPr>
      <w:bookmarkStart w:id="15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56"/>
    </w:p>
    <w:p>
      <w:pPr>
        <w:pStyle w:val="MDPI81references"/>
        <w:numPr>
          <w:ilvl w:val="0"/>
          <w:numId w:val="0"/>
        </w:numPr>
        <w:ind w:left="180" w:hanging="180"/>
      </w:pPr>
      <w:bookmarkStart w:id="15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7"/>
    </w:p>
    <w:p>
      <w:pPr>
        <w:pStyle w:val="MDPI81references"/>
        <w:numPr>
          <w:ilvl w:val="0"/>
          <w:numId w:val="0"/>
        </w:numPr>
        <w:ind w:left="180" w:hanging="180"/>
      </w:pPr>
      <w:bookmarkStart w:id="158" w:name="ref-reidenbach2023molmim"/>
      <w:r>
        <w:t xml:space="preserve">Reidenbach, D., Livne, M., Ilango, R. K., Gill, M., &amp; Israeli, J. (2023). MolMIM: A Molecular Language Model for Property-Guided Molecule Generation via Mutual Information Machines. (MLDD Workshop, ICLR 2023; arXiv:2208.09016).</w:t>
      </w:r>
      <w:bookmarkEnd w:id="158"/>
    </w:p>
    <w:p>
      <w:pPr>
        <w:pStyle w:val="MDPI81references"/>
        <w:numPr>
          <w:ilvl w:val="0"/>
          <w:numId w:val="0"/>
        </w:numPr>
        <w:ind w:left="180" w:hanging="180"/>
      </w:pPr>
      <w:bookmarkStart w:id="159" w:name="ref-jaegle2021perceiver"/>
      <w:r>
        <w:t xml:space="preserve">Jaegle, A. et al. (2021). Perceiver: General Perception with Iterative Attention.</w:t>
      </w:r>
      <w:r>
        <w:t xml:space="preserve"> </w:t>
      </w:r>
      <w:r>
        <w:rPr>
          <w:i/>
          <w:iCs/>
        </w:rPr>
        <w:t xml:space="preserve">ICML 2021</w:t>
      </w:r>
      <w:r>
        <w:t xml:space="preserve">. arXiv:2103.03206.</w:t>
      </w:r>
      <w:bookmarkEnd w:id="159"/>
    </w:p>
    <w:p>
      <w:pPr>
        <w:pStyle w:val="MDPI81references"/>
        <w:numPr>
          <w:ilvl w:val="0"/>
          <w:numId w:val="0"/>
        </w:numPr>
        <w:ind w:left="180" w:hanging="180"/>
      </w:pPr>
      <w:bookmarkStart w:id="16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60"/>
    </w:p>
    <w:p>
      <w:pPr>
        <w:pStyle w:val="MDPI81references"/>
        <w:numPr>
          <w:ilvl w:val="0"/>
          <w:numId w:val="0"/>
        </w:numPr>
        <w:ind w:left="180" w:hanging="180"/>
      </w:pPr>
      <w:bookmarkStart w:id="16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61"/>
    </w:p>
    <w:p>
      <w:pPr>
        <w:pStyle w:val="MDPI81references"/>
        <w:numPr>
          <w:ilvl w:val="0"/>
          <w:numId w:val="0"/>
        </w:numPr>
        <w:ind w:left="180" w:hanging="180"/>
      </w:pPr>
      <w:bookmarkStart w:id="16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62"/>
    </w:p>
    <w:p>
      <w:pPr>
        <w:pStyle w:val="MDPI81references"/>
        <w:numPr>
          <w:ilvl w:val="0"/>
          <w:numId w:val="0"/>
        </w:numPr>
        <w:ind w:left="180" w:hanging="180"/>
      </w:pPr>
      <w:bookmarkStart w:id="16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63"/>
    </w:p>
    <w:p>
      <w:pPr>
        <w:pStyle w:val="MDPI81references"/>
        <w:numPr>
          <w:ilvl w:val="0"/>
          <w:numId w:val="0"/>
        </w:numPr>
        <w:ind w:left="180" w:hanging="180"/>
      </w:pPr>
      <w:bookmarkStart w:id="16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64"/>
    </w:p>
    <w:p>
      <w:pPr>
        <w:pStyle w:val="MDPI81references"/>
        <w:numPr>
          <w:ilvl w:val="0"/>
          <w:numId w:val="0"/>
        </w:numPr>
        <w:ind w:left="180" w:hanging="180"/>
      </w:pPr>
      <w:bookmarkStart w:id="16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65"/>
    </w:p>
    <w:p>
      <w:pPr>
        <w:pStyle w:val="MDPI81references"/>
        <w:numPr>
          <w:ilvl w:val="0"/>
          <w:numId w:val="0"/>
        </w:numPr>
        <w:ind w:left="180" w:hanging="180"/>
      </w:pPr>
      <w:bookmarkStart w:id="16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66"/>
    </w:p>
    <w:p>
      <w:pPr>
        <w:pStyle w:val="MDPI81references"/>
        <w:numPr>
          <w:ilvl w:val="0"/>
          <w:numId w:val="0"/>
        </w:numPr>
        <w:ind w:left="180" w:hanging="180"/>
      </w:pPr>
      <w:bookmarkStart w:id="167" w:name="ref-vignac2023digress"/>
      <w:r>
        <w:t xml:space="preserve">Vignac, C. et al. (2023). DiGress: Discrete Denoising Diffusion for Graph Generation.</w:t>
      </w:r>
      <w:r>
        <w:t xml:space="preserve"> </w:t>
      </w:r>
      <w:r>
        <w:rPr>
          <w:i/>
          <w:iCs/>
        </w:rPr>
        <w:t xml:space="preserve">ICLR 2023</w:t>
      </w:r>
      <w:r>
        <w:t xml:space="preserve">. arXiv:2209.14734.</w:t>
      </w:r>
      <w:bookmarkEnd w:id="167"/>
    </w:p>
    <w:p>
      <w:pPr>
        <w:pStyle w:val="MDPI81references"/>
        <w:numPr>
          <w:ilvl w:val="0"/>
          <w:numId w:val="0"/>
        </w:numPr>
        <w:ind w:left="180" w:hanging="180"/>
      </w:pPr>
      <w:bookmarkStart w:id="168" w:name="ref-ho2020ddpm"/>
      <w:r>
        <w:t xml:space="preserve">Ho, J., Jain, A., &amp; Abbeel, P. (2020). Denoising Diffusion Probabilistic Models.</w:t>
      </w:r>
      <w:r>
        <w:t xml:space="preserve"> </w:t>
      </w:r>
      <w:r>
        <w:rPr>
          <w:i/>
          <w:iCs/>
        </w:rPr>
        <w:t xml:space="preserve">NeurIPS 2020</w:t>
      </w:r>
      <w:r>
        <w:t xml:space="preserve">. arXiv:2006.11239.</w:t>
      </w:r>
      <w:bookmarkEnd w:id="168"/>
    </w:p>
    <w:p>
      <w:pPr>
        <w:pStyle w:val="MDPI81references"/>
        <w:numPr>
          <w:ilvl w:val="0"/>
          <w:numId w:val="0"/>
        </w:numPr>
        <w:ind w:left="180" w:hanging="180"/>
      </w:pPr>
      <w:bookmarkStart w:id="16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9"/>
    </w:p>
    <w:p>
      <w:pPr>
        <w:pStyle w:val="MDPI81references"/>
        <w:numPr>
          <w:ilvl w:val="0"/>
          <w:numId w:val="0"/>
        </w:numPr>
        <w:ind w:left="180" w:hanging="180"/>
      </w:pPr>
      <w:bookmarkStart w:id="17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70"/>
    </w:p>
    <w:p>
      <w:pPr>
        <w:pStyle w:val="MDPI81references"/>
        <w:numPr>
          <w:ilvl w:val="0"/>
          <w:numId w:val="0"/>
        </w:numPr>
        <w:ind w:left="180" w:hanging="180"/>
      </w:pPr>
      <w:bookmarkStart w:id="17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71"/>
    </w:p>
    <w:p>
      <w:pPr>
        <w:pStyle w:val="MDPI81references"/>
        <w:numPr>
          <w:ilvl w:val="0"/>
          <w:numId w:val="0"/>
        </w:numPr>
        <w:ind w:left="180" w:hanging="180"/>
      </w:pPr>
      <w:bookmarkStart w:id="17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72"/>
    </w:p>
    <w:p>
      <w:pPr>
        <w:pStyle w:val="MDPI81references"/>
        <w:numPr>
          <w:ilvl w:val="0"/>
          <w:numId w:val="0"/>
        </w:numPr>
        <w:ind w:left="180" w:hanging="180"/>
      </w:pPr>
      <w:bookmarkStart w:id="17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73"/>
    </w:p>
    <w:p>
      <w:pPr>
        <w:pStyle w:val="MDPI81references"/>
        <w:numPr>
          <w:ilvl w:val="0"/>
          <w:numId w:val="0"/>
        </w:numPr>
        <w:ind w:left="180" w:hanging="180"/>
      </w:pPr>
      <w:bookmarkStart w:id="17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74"/>
    </w:p>
    <w:p>
      <w:pPr>
        <w:pStyle w:val="MDPI81references"/>
        <w:numPr>
          <w:ilvl w:val="0"/>
          <w:numId w:val="0"/>
        </w:numPr>
        <w:ind w:left="180" w:hanging="180"/>
      </w:pPr>
      <w:bookmarkStart w:id="17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75"/>
    </w:p>
    <w:p>
      <w:pPr>
        <w:pStyle w:val="MDPI81references"/>
        <w:numPr>
          <w:ilvl w:val="0"/>
          <w:numId w:val="0"/>
        </w:numPr>
        <w:ind w:left="180" w:hanging="180"/>
      </w:pPr>
      <w:bookmarkStart w:id="17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76"/>
    </w:p>
    <w:p>
      <w:pPr>
        <w:pStyle w:val="MDPI81references"/>
        <w:numPr>
          <w:ilvl w:val="0"/>
          <w:numId w:val="0"/>
        </w:numPr>
        <w:ind w:left="180" w:hanging="180"/>
      </w:pPr>
      <w:bookmarkStart w:id="17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7"/>
    </w:p>
    <w:p>
      <w:pPr>
        <w:pStyle w:val="MDPI81references"/>
        <w:numPr>
          <w:ilvl w:val="0"/>
          <w:numId w:val="0"/>
        </w:numPr>
        <w:ind w:left="180" w:hanging="180"/>
      </w:pPr>
      <w:bookmarkStart w:id="17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8"/>
    </w:p>
    <w:p>
      <w:pPr>
        <w:pStyle w:val="MDPI81references"/>
        <w:numPr>
          <w:ilvl w:val="0"/>
          <w:numId w:val="0"/>
        </w:numPr>
        <w:ind w:left="180" w:hanging="180"/>
      </w:pPr>
      <w:bookmarkStart w:id="17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9"/>
    </w:p>
    <w:p>
      <w:pPr>
        <w:pStyle w:val="MDPI81references"/>
        <w:numPr>
          <w:ilvl w:val="0"/>
          <w:numId w:val="0"/>
        </w:numPr>
        <w:ind w:left="180" w:hanging="180"/>
      </w:pPr>
      <w:bookmarkStart w:id="18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80"/>
    </w:p>
    <w:p>
      <w:pPr>
        <w:pStyle w:val="MDPI81references"/>
        <w:numPr>
          <w:ilvl w:val="0"/>
          <w:numId w:val="0"/>
        </w:numPr>
        <w:ind w:left="180" w:hanging="180"/>
      </w:pPr>
      <w:bookmarkStart w:id="18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81"/>
    </w:p>
    <w:p>
      <w:pPr>
        <w:pStyle w:val="MDPI81references"/>
        <w:numPr>
          <w:ilvl w:val="0"/>
          <w:numId w:val="0"/>
        </w:numPr>
        <w:ind w:left="180" w:hanging="180"/>
      </w:pPr>
      <w:bookmarkStart w:id="18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82"/>
    </w:p>
    <w:p>
      <w:pPr>
        <w:pStyle w:val="MDPI81references"/>
        <w:numPr>
          <w:ilvl w:val="0"/>
          <w:numId w:val="0"/>
        </w:numPr>
        <w:ind w:left="180" w:hanging="180"/>
      </w:pPr>
      <w:bookmarkStart w:id="18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83"/>
    </w:p>
    <w:p>
      <w:pPr>
        <w:pStyle w:val="MDPI81references"/>
        <w:numPr>
          <w:ilvl w:val="0"/>
          <w:numId w:val="0"/>
        </w:numPr>
        <w:ind w:left="180" w:hanging="180"/>
      </w:pPr>
      <w:bookmarkStart w:id="18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84"/>
    </w:p>
    <w:p>
      <w:pPr>
        <w:pStyle w:val="MDPI81references"/>
        <w:numPr>
          <w:ilvl w:val="0"/>
          <w:numId w:val="0"/>
        </w:numPr>
        <w:ind w:left="180" w:hanging="180"/>
      </w:pPr>
      <w:bookmarkStart w:id="18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85"/>
    </w:p>
    <w:p>
      <w:pPr>
        <w:pStyle w:val="MDPI81references"/>
        <w:numPr>
          <w:ilvl w:val="0"/>
          <w:numId w:val="0"/>
        </w:numPr>
        <w:ind w:left="180" w:hanging="180"/>
      </w:pPr>
      <w:bookmarkStart w:id="18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86"/>
    </w:p>
    <w:p>
      <w:pPr>
        <w:pStyle w:val="MDPI81references"/>
        <w:numPr>
          <w:ilvl w:val="0"/>
          <w:numId w:val="0"/>
        </w:numPr>
        <w:ind w:left="180" w:hanging="180"/>
      </w:pPr>
      <w:bookmarkStart w:id="18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7"/>
    </w:p>
    <w:p>
      <w:pPr>
        <w:pStyle w:val="MDPI81references"/>
        <w:numPr>
          <w:ilvl w:val="0"/>
          <w:numId w:val="0"/>
        </w:numPr>
        <w:ind w:left="180" w:hanging="180"/>
      </w:pPr>
      <w:bookmarkStart w:id="188" w:name="ref-bondi1964vdw"/>
      <w:r>
        <w:t xml:space="preserve">Bondi, A. (1964). van der Waals Volumes and Radii.</w:t>
      </w:r>
      <w:r>
        <w:t xml:space="preserve"> </w:t>
      </w:r>
      <w:r>
        <w:rPr>
          <w:i/>
          <w:iCs/>
        </w:rPr>
        <w:t xml:space="preserve">J. Phys. Chem. 68(3)</w:t>
      </w:r>
      <w:r>
        <w:t xml:space="preserve">:441–451. doi:10.1021/j100785a001.</w:t>
      </w:r>
      <w:bookmarkEnd w:id="188"/>
    </w:p>
    <w:p>
      <w:pPr>
        <w:pStyle w:val="MDPI81references"/>
        <w:numPr>
          <w:ilvl w:val="0"/>
          <w:numId w:val="0"/>
        </w:numPr>
        <w:ind w:left="180" w:hanging="180"/>
      </w:pPr>
      <w:bookmarkStart w:id="18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9"/>
    </w:p>
    <w:p>
      <w:pPr>
        <w:pStyle w:val="MDPI81references"/>
        <w:numPr>
          <w:ilvl w:val="0"/>
          <w:numId w:val="0"/>
        </w:numPr>
        <w:ind w:left="180" w:hanging="180"/>
      </w:pPr>
      <w:bookmarkStart w:id="19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90"/>
    </w:p>
    <w:p>
      <w:pPr>
        <w:pStyle w:val="MDPI81references"/>
        <w:numPr>
          <w:ilvl w:val="0"/>
          <w:numId w:val="0"/>
        </w:numPr>
        <w:ind w:left="180" w:hanging="180"/>
      </w:pPr>
      <w:bookmarkStart w:id="191" w:name="ref-klapotke2017nitrogen"/>
      <w:r>
        <w:t xml:space="preserve">Klapötke, T. M.</w:t>
      </w:r>
      <w:r>
        <w:t xml:space="preserve"> </w:t>
      </w:r>
      <w:r>
        <w:rPr>
          <w:i/>
          <w:iCs/>
        </w:rPr>
        <w:t xml:space="preserve">Chemistry of High-Energy Materials</w:t>
      </w:r>
      <w:r>
        <w:t xml:space="preserve">, 5th ed. (de Gruyter, 2019). doi:10.1515/9783110624571.</w:t>
      </w:r>
      <w:bookmarkEnd w:id="191"/>
    </w:p>
    <w:p>
      <w:pPr>
        <w:pStyle w:val="MDPI81references"/>
        <w:numPr>
          <w:ilvl w:val="0"/>
          <w:numId w:val="0"/>
        </w:numPr>
        <w:ind w:left="180" w:hanging="180"/>
      </w:pPr>
      <w:bookmarkStart w:id="19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2"/>
    </w:p>
    <w:p>
      <w:pPr>
        <w:pStyle w:val="MDPI81references"/>
        <w:numPr>
          <w:ilvl w:val="0"/>
          <w:numId w:val="0"/>
        </w:numPr>
        <w:ind w:left="180" w:hanging="180"/>
      </w:pPr>
      <w:bookmarkStart w:id="193"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93"/>
    </w:p>
    <w:p>
      <w:pPr>
        <w:pStyle w:val="MDPI81references"/>
        <w:numPr>
          <w:ilvl w:val="0"/>
          <w:numId w:val="0"/>
        </w:numPr>
        <w:ind w:left="180" w:hanging="180"/>
      </w:pPr>
      <w:bookmarkStart w:id="19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4"/>
    </w:p>
    <w:p>
      <w:pPr>
        <w:pStyle w:val="MDPI81references"/>
        <w:numPr>
          <w:ilvl w:val="0"/>
          <w:numId w:val="0"/>
        </w:numPr>
        <w:ind w:left="180" w:hanging="180"/>
      </w:pPr>
      <w:bookmarkStart w:id="19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5"/>
    </w:p>
    <w:p>
      <w:pPr>
        <w:pStyle w:val="MDPI81references"/>
        <w:numPr>
          <w:ilvl w:val="0"/>
          <w:numId w:val="0"/>
        </w:numPr>
        <w:ind w:left="180" w:hanging="180"/>
      </w:pPr>
      <w:bookmarkStart w:id="19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6"/>
    </w:p>
    <w:p>
      <w:pPr>
        <w:pStyle w:val="MDPI81references"/>
        <w:numPr>
          <w:ilvl w:val="0"/>
          <w:numId w:val="0"/>
        </w:numPr>
        <w:ind w:left="180" w:hanging="180"/>
      </w:pPr>
      <w:bookmarkStart w:id="19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7"/>
    </w:p>
    <w:p>
      <w:pPr>
        <w:pStyle w:val="MDPI81references"/>
        <w:numPr>
          <w:ilvl w:val="0"/>
          <w:numId w:val="0"/>
        </w:numPr>
        <w:ind w:left="180" w:hanging="180"/>
      </w:pPr>
      <w:bookmarkStart w:id="198"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8"/>
    </w:p>
    <w:p>
      <w:pPr>
        <w:pStyle w:val="MDPI81references"/>
        <w:numPr>
          <w:ilvl w:val="0"/>
          <w:numId w:val="0"/>
        </w:numPr>
        <w:ind w:left="180" w:hanging="180"/>
      </w:pPr>
      <w:bookmarkStart w:id="199"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9"/>
    </w:p>
    <w:p>
      <w:pPr>
        <w:pStyle w:val="MDPI81references"/>
        <w:numPr>
          <w:ilvl w:val="0"/>
          <w:numId w:val="0"/>
        </w:numPr>
        <w:ind w:left="180" w:hanging="180"/>
      </w:pPr>
      <w:bookmarkStart w:id="200" w:name="ref-reymond2015gdb"/>
      <w:r>
        <w:t xml:space="preserve">Reymond, J.-L. (2015). The chemical space project.</w:t>
      </w:r>
      <w:r>
        <w:t xml:space="preserve"> </w:t>
      </w:r>
      <w:r>
        <w:rPr>
          <w:i/>
          <w:iCs/>
        </w:rPr>
        <w:t xml:space="preserve">Acc. Chem. Res. 48(3)</w:t>
      </w:r>
      <w:r>
        <w:t xml:space="preserve">:722–730.</w:t>
      </w:r>
      <w:bookmarkEnd w:id="200"/>
    </w:p>
    <w:p>
      <w:pPr>
        <w:pStyle w:val="MDPI81references"/>
        <w:numPr>
          <w:ilvl w:val="0"/>
          <w:numId w:val="0"/>
        </w:numPr>
        <w:ind w:left="180" w:hanging="180"/>
      </w:pPr>
      <w:bookmarkStart w:id="201" w:name="ref-sterling2015zinc"/>
      <w:r>
        <w:t xml:space="preserve">Sterling, T., &amp; Irwin, J. J. (2015). ZINC 15: Ligand Discovery for Everyone.</w:t>
      </w:r>
      <w:r>
        <w:t xml:space="preserve"> </w:t>
      </w:r>
      <w:r>
        <w:rPr>
          <w:i/>
          <w:iCs/>
        </w:rPr>
        <w:t xml:space="preserve">J. Chem. Inf. Model. 55(11)</w:t>
      </w:r>
      <w:r>
        <w:t xml:space="preserve">:2324–2337.</w:t>
      </w:r>
      <w:bookmarkEnd w:id="201"/>
    </w:p>
    <w:p>
      <w:pPr>
        <w:pStyle w:val="MDPI81references"/>
        <w:numPr>
          <w:ilvl w:val="0"/>
          <w:numId w:val="0"/>
        </w:numPr>
        <w:ind w:left="180" w:hanging="180"/>
      </w:pPr>
      <w:bookmarkStart w:id="20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202"/>
    </w:p>
    <w:p>
      <w:pPr>
        <w:pStyle w:val="MDPI81references"/>
        <w:numPr>
          <w:ilvl w:val="0"/>
          <w:numId w:val="0"/>
        </w:numPr>
        <w:ind w:left="180" w:hanging="180"/>
      </w:pPr>
      <w:bookmarkStart w:id="20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203"/>
    </w:p>
    <w:p>
      <w:pPr>
        <w:pStyle w:val="MDPI81references"/>
        <w:numPr>
          <w:ilvl w:val="0"/>
          <w:numId w:val="0"/>
        </w:numPr>
        <w:ind w:left="180" w:hanging="180"/>
      </w:pPr>
      <w:bookmarkStart w:id="204" w:name="ref-rogers1960computer"/>
      <w:r>
        <w:t xml:space="preserve">Rogers, D. J., &amp; Tanimoto, T. T. (1960). A Computer Program for Classifying Plants.</w:t>
      </w:r>
      <w:r>
        <w:t xml:space="preserve"> </w:t>
      </w:r>
      <w:r>
        <w:rPr>
          <w:i/>
          <w:iCs/>
        </w:rPr>
        <w:t xml:space="preserve">Science 132(3434)</w:t>
      </w:r>
      <w:r>
        <w:t xml:space="preserve">:1115–1118.</w:t>
      </w:r>
      <w:bookmarkEnd w:id="204"/>
    </w:p>
    <w:p>
      <w:pPr>
        <w:pStyle w:val="MDPI81references"/>
        <w:numPr>
          <w:ilvl w:val="0"/>
          <w:numId w:val="0"/>
        </w:numPr>
        <w:ind w:left="180" w:hanging="180"/>
      </w:pPr>
      <w:bookmarkStart w:id="20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5"/>
    </w:p>
    <w:p>
      <w:pPr>
        <w:pStyle w:val="MDPI81references"/>
        <w:numPr>
          <w:ilvl w:val="0"/>
          <w:numId w:val="0"/>
        </w:numPr>
        <w:ind w:left="180" w:hanging="180"/>
      </w:pPr>
      <w:bookmarkStart w:id="20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6"/>
    </w:p>
    <w:p>
      <w:pPr>
        <w:pStyle w:val="MDPI81references"/>
        <w:numPr>
          <w:ilvl w:val="0"/>
          <w:numId w:val="0"/>
        </w:numPr>
        <w:ind w:left="180" w:hanging="180"/>
      </w:pPr>
      <w:bookmarkStart w:id="20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7"/>
    </w:p>
    <w:p>
      <w:pPr>
        <w:pStyle w:val="MDPI81references"/>
        <w:numPr>
          <w:ilvl w:val="0"/>
          <w:numId w:val="0"/>
        </w:numPr>
        <w:ind w:left="180" w:hanging="180"/>
      </w:pPr>
      <w:bookmarkStart w:id="20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8"/>
    </w:p>
    <w:p>
      <w:pPr>
        <w:pStyle w:val="MDPI81references"/>
        <w:numPr>
          <w:ilvl w:val="0"/>
          <w:numId w:val="0"/>
        </w:numPr>
        <w:ind w:left="180" w:hanging="180"/>
      </w:pPr>
      <w:bookmarkStart w:id="209"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9"/>
    </w:p>
    <w:p>
      <w:pPr>
        <w:pStyle w:val="MDPI81references"/>
        <w:numPr>
          <w:ilvl w:val="0"/>
          <w:numId w:val="0"/>
        </w:numPr>
        <w:ind w:left="180" w:hanging="180"/>
      </w:pPr>
      <w:bookmarkStart w:id="21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10"/>
    </w:p>
    <w:p>
      <w:pPr>
        <w:pStyle w:val="MDPI81references"/>
        <w:numPr>
          <w:ilvl w:val="0"/>
          <w:numId w:val="0"/>
        </w:numPr>
        <w:ind w:left="180" w:hanging="180"/>
      </w:pPr>
      <w:bookmarkStart w:id="21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11"/>
    </w:p>
    <w:p>
      <w:pPr>
        <w:pStyle w:val="MDPI81references"/>
        <w:numPr>
          <w:ilvl w:val="0"/>
          <w:numId w:val="0"/>
        </w:numPr>
        <w:ind w:left="180" w:hanging="180"/>
      </w:pPr>
      <w:bookmarkStart w:id="212" w:name="ref-kim2023pubchem"/>
      <w:r>
        <w:t xml:space="preserve">Kim, S. et al. (2023). PubChem 2023 Update.</w:t>
      </w:r>
      <w:r>
        <w:t xml:space="preserve"> </w:t>
      </w:r>
      <w:r>
        <w:rPr>
          <w:i/>
          <w:iCs/>
        </w:rPr>
        <w:t xml:space="preserve">Nucleic Acids Res. 51(D1)</w:t>
      </w:r>
      <w:r>
        <w:t xml:space="preserve">:D1373–D1380.</w:t>
      </w:r>
      <w:bookmarkEnd w:id="212"/>
    </w:p>
    <w:p>
      <w:pPr>
        <w:pStyle w:val="MDPI81references"/>
        <w:numPr>
          <w:ilvl w:val="0"/>
          <w:numId w:val="0"/>
        </w:numPr>
        <w:ind w:left="180" w:hanging="180"/>
      </w:pPr>
      <w:bookmarkStart w:id="21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3"/>
    </w:p>
    <w:p>
      <w:pPr>
        <w:pStyle w:val="MDPI81references"/>
        <w:numPr>
          <w:ilvl w:val="0"/>
          <w:numId w:val="0"/>
        </w:numPr>
        <w:ind w:left="180" w:hanging="180"/>
      </w:pPr>
      <w:bookmarkStart w:id="21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14"/>
    </w:p>
    <w:p>
      <w:pPr>
        <w:pStyle w:val="MDPI81references"/>
        <w:numPr>
          <w:ilvl w:val="0"/>
          <w:numId w:val="0"/>
        </w:numPr>
        <w:ind w:left="180" w:hanging="180"/>
      </w:pPr>
      <w:bookmarkStart w:id="216" w:name="ref-landrum2024rdkit"/>
      <w:r>
        <w:t xml:space="preserve">Landrum, G., &amp; contributors. RDKit: Open-source cheminformatics.</w:t>
      </w:r>
      <w:r>
        <w:t xml:space="preserve"> </w:t>
      </w:r>
      <w:hyperlink r:id="rId44">
        <w:r>
          <w:rPr>
            <w:rStyle w:val="Hyperlink"/>
          </w:rPr>
          <w:t xml:space="preserve">rdkit.org</w:t>
        </w:r>
      </w:hyperlink>
      <w:r>
        <w:t xml:space="preserve">.</w:t>
      </w:r>
      <w:bookmarkEnd w:id="216"/>
    </w:p>
    <w:p>
      <w:pPr>
        <w:pStyle w:val="MDPI81references"/>
        <w:numPr>
          <w:ilvl w:val="0"/>
          <w:numId w:val="0"/>
        </w:numPr>
        <w:ind w:left="180" w:hanging="180"/>
      </w:pPr>
      <w:bookmarkStart w:id="217"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7"/>
    </w:p>
    <w:p>
      <w:pPr>
        <w:pStyle w:val="MDPI81references"/>
        <w:numPr>
          <w:ilvl w:val="0"/>
          <w:numId w:val="0"/>
        </w:numPr>
        <w:ind w:left="180" w:hanging="180"/>
      </w:pPr>
      <w:bookmarkStart w:id="219" w:name="ref-daylight-smarts"/>
      <w:r>
        <w:t xml:space="preserve">Daylight Chemical Information Systems. (2007). SMARTS: A Language for Describing Molecular Patterns. Daylight Theory Manual, Aliso Viejo, CA.</w:t>
      </w:r>
      <w:r>
        <w:t xml:space="preserve"> </w:t>
      </w:r>
      <w:hyperlink r:id="rId4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19"/>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doi.org/10.5281/zenodo.19821952" TargetMode="External"/><Relationship Id="rId43" Type="http://schemas.openxmlformats.org/officeDocument/2006/relationships/hyperlink" Target="https://github.com/ApartsinProjects/DGLD4Energetic" TargetMode="External"/><Relationship Id="rId44" Type="http://schemas.openxmlformats.org/officeDocument/2006/relationships/hyperlink" Target="https://www.rdkit.org" TargetMode="External"/><Relationship Id="rId4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